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53637939"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#8</w:t>
      </w:r>
      <w:r w:rsidR="0061129F">
        <w:rPr>
          <w:rFonts w:cs="Arial"/>
          <w:sz w:val="24"/>
          <w:szCs w:val="24"/>
        </w:rPr>
        <w:t>8</w:t>
      </w:r>
      <w:r w:rsidRPr="00207615">
        <w:rPr>
          <w:rFonts w:cs="Arial"/>
          <w:sz w:val="24"/>
          <w:szCs w:val="24"/>
        </w:rPr>
        <w:tab/>
      </w:r>
      <w:r w:rsidRPr="004E3B8E">
        <w:rPr>
          <w:rFonts w:cs="Arial"/>
          <w:color w:val="000000"/>
          <w:sz w:val="24"/>
          <w:szCs w:val="24"/>
        </w:rPr>
        <w:t>R4-1</w:t>
      </w:r>
      <w:r>
        <w:rPr>
          <w:rFonts w:cs="Arial"/>
          <w:color w:val="000000"/>
          <w:sz w:val="24"/>
          <w:szCs w:val="24"/>
        </w:rPr>
        <w:t>8</w:t>
      </w:r>
      <w:r w:rsidR="005852BF">
        <w:rPr>
          <w:rFonts w:cs="Arial"/>
          <w:color w:val="000000"/>
          <w:sz w:val="24"/>
          <w:szCs w:val="24"/>
        </w:rPr>
        <w:t>10535</w:t>
      </w:r>
    </w:p>
    <w:p w14:paraId="2700B07E" w14:textId="00E5E792" w:rsidR="003175E3" w:rsidRPr="008C4D7E" w:rsidRDefault="0061129F" w:rsidP="003175E3">
      <w:pPr>
        <w:pStyle w:val="Header"/>
        <w:rPr>
          <w:noProof w:val="0"/>
          <w:lang w:val="en-GB"/>
        </w:rPr>
      </w:pPr>
      <w:r>
        <w:rPr>
          <w:rFonts w:eastAsia="SimSun"/>
          <w:sz w:val="24"/>
          <w:szCs w:val="24"/>
          <w:lang w:eastAsia="zh-CN"/>
        </w:rPr>
        <w:t>Gothenburg</w:t>
      </w:r>
      <w:r w:rsidR="003175E3" w:rsidRPr="002E7CB7">
        <w:rPr>
          <w:rFonts w:eastAsia="SimSun"/>
          <w:sz w:val="24"/>
          <w:szCs w:val="24"/>
          <w:lang w:eastAsia="zh-CN"/>
        </w:rPr>
        <w:t xml:space="preserve">, </w:t>
      </w:r>
      <w:r>
        <w:rPr>
          <w:rFonts w:eastAsia="SimSun"/>
          <w:sz w:val="24"/>
          <w:szCs w:val="24"/>
          <w:lang w:eastAsia="zh-CN"/>
        </w:rPr>
        <w:t>Sweden</w:t>
      </w:r>
      <w:r w:rsidR="003175E3" w:rsidRPr="002E7CB7">
        <w:rPr>
          <w:rFonts w:eastAsia="SimSun"/>
          <w:sz w:val="24"/>
          <w:szCs w:val="24"/>
          <w:lang w:eastAsia="zh-CN"/>
        </w:rPr>
        <w:t xml:space="preserve">, </w:t>
      </w:r>
      <w:r w:rsidR="001F55D4">
        <w:rPr>
          <w:rFonts w:eastAsia="SimSun"/>
          <w:sz w:val="24"/>
          <w:szCs w:val="24"/>
          <w:lang w:eastAsia="zh-CN"/>
        </w:rPr>
        <w:t>2</w:t>
      </w:r>
      <w:r>
        <w:rPr>
          <w:rFonts w:eastAsia="SimSun"/>
          <w:sz w:val="24"/>
          <w:szCs w:val="24"/>
          <w:lang w:eastAsia="zh-CN"/>
        </w:rPr>
        <w:t>0</w:t>
      </w:r>
      <w:r>
        <w:rPr>
          <w:rFonts w:eastAsia="SimSun"/>
          <w:sz w:val="24"/>
          <w:szCs w:val="24"/>
          <w:vertAlign w:val="superscript"/>
          <w:lang w:eastAsia="zh-CN"/>
        </w:rPr>
        <w:t>th</w:t>
      </w:r>
      <w:r w:rsidR="001F55D4">
        <w:rPr>
          <w:rFonts w:eastAsia="SimSun"/>
          <w:sz w:val="24"/>
          <w:szCs w:val="24"/>
          <w:lang w:eastAsia="zh-CN"/>
        </w:rPr>
        <w:t xml:space="preserve"> – 2</w:t>
      </w:r>
      <w:r>
        <w:rPr>
          <w:rFonts w:eastAsia="SimSun"/>
          <w:sz w:val="24"/>
          <w:szCs w:val="24"/>
          <w:lang w:eastAsia="zh-CN"/>
        </w:rPr>
        <w:t>4</w:t>
      </w:r>
      <w:r w:rsidR="001F55D4" w:rsidRPr="001F55D4">
        <w:rPr>
          <w:rFonts w:eastAsia="SimSun"/>
          <w:sz w:val="24"/>
          <w:szCs w:val="24"/>
          <w:vertAlign w:val="superscript"/>
          <w:lang w:eastAsia="zh-CN"/>
        </w:rPr>
        <w:t>th</w:t>
      </w:r>
      <w:r w:rsidR="001F55D4">
        <w:rPr>
          <w:rFonts w:eastAsia="SimSun"/>
          <w:sz w:val="24"/>
          <w:szCs w:val="24"/>
          <w:lang w:eastAsia="zh-CN"/>
        </w:rPr>
        <w:t xml:space="preserve"> </w:t>
      </w:r>
      <w:r>
        <w:rPr>
          <w:rFonts w:eastAsia="SimSun"/>
          <w:sz w:val="24"/>
          <w:szCs w:val="24"/>
          <w:lang w:eastAsia="zh-CN"/>
        </w:rPr>
        <w:t>Aug</w:t>
      </w:r>
      <w:r w:rsidR="003175E3" w:rsidRPr="002E7CB7">
        <w:rPr>
          <w:rFonts w:eastAsia="SimSun"/>
          <w:sz w:val="24"/>
          <w:szCs w:val="24"/>
          <w:lang w:eastAsia="zh-CN"/>
        </w:rPr>
        <w:t>, 2018</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D32A99B"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6C142E">
        <w:rPr>
          <w:rFonts w:ascii="Arial" w:hAnsi="Arial"/>
          <w:sz w:val="24"/>
          <w:lang w:val="en-US"/>
        </w:rPr>
        <w:t>6.4.6</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5CD9590D"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8667C5" w:rsidRPr="008667C5">
        <w:rPr>
          <w:rFonts w:ascii="Arial" w:hAnsi="Arial"/>
          <w:sz w:val="24"/>
          <w:lang w:val="en-US"/>
        </w:rPr>
        <w:t xml:space="preserve">UE demodulation </w:t>
      </w:r>
      <w:r w:rsidR="00FC56F8">
        <w:rPr>
          <w:rFonts w:ascii="Arial" w:hAnsi="Arial"/>
          <w:sz w:val="24"/>
          <w:lang w:val="en-US"/>
        </w:rPr>
        <w:t>requirement</w:t>
      </w:r>
      <w:r w:rsidR="008667C5" w:rsidRPr="008667C5">
        <w:rPr>
          <w:rFonts w:ascii="Arial" w:hAnsi="Arial"/>
          <w:sz w:val="24"/>
          <w:lang w:val="en-US"/>
        </w:rPr>
        <w:t xml:space="preserve"> for</w:t>
      </w:r>
      <w:r w:rsidR="00FC56F8">
        <w:rPr>
          <w:rFonts w:ascii="Arial" w:hAnsi="Arial"/>
          <w:sz w:val="24"/>
          <w:lang w:val="en-US"/>
        </w:rPr>
        <w:t xml:space="preserve"> FeNB-IoT TDD</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77777777" w:rsidR="003A3520" w:rsidRDefault="009046D1" w:rsidP="00017422">
      <w:pPr>
        <w:pStyle w:val="Heading1"/>
        <w:rPr>
          <w:lang w:val="en-US"/>
        </w:rPr>
      </w:pPr>
      <w:r>
        <w:rPr>
          <w:lang w:val="en-US"/>
        </w:rPr>
        <w:t>Introduction</w:t>
      </w:r>
    </w:p>
    <w:p w14:paraId="04922B5C" w14:textId="7171176D" w:rsidR="0061129F" w:rsidRDefault="001F55D4" w:rsidP="00884374">
      <w:pPr>
        <w:spacing w:after="0"/>
        <w:rPr>
          <w:lang w:val="en-US"/>
        </w:rPr>
      </w:pPr>
      <w:r>
        <w:rPr>
          <w:lang w:val="en-US"/>
        </w:rPr>
        <w:t>In the last RAN4 #8</w:t>
      </w:r>
      <w:r w:rsidR="007C43A9">
        <w:rPr>
          <w:lang w:val="en-US"/>
        </w:rPr>
        <w:t>7</w:t>
      </w:r>
      <w:r>
        <w:rPr>
          <w:lang w:val="en-US"/>
        </w:rPr>
        <w:t xml:space="preserve"> meeting, RAN4 agreed </w:t>
      </w:r>
      <w:r w:rsidR="00020E38">
        <w:rPr>
          <w:lang w:val="en-US"/>
        </w:rPr>
        <w:t>the</w:t>
      </w:r>
      <w:r>
        <w:rPr>
          <w:lang w:val="en-US"/>
        </w:rPr>
        <w:t xml:space="preserve"> </w:t>
      </w:r>
      <w:r w:rsidR="00020E38">
        <w:rPr>
          <w:lang w:val="en-US"/>
        </w:rPr>
        <w:t>way-forward</w:t>
      </w:r>
      <w:r>
        <w:rPr>
          <w:lang w:val="en-US"/>
        </w:rPr>
        <w:t xml:space="preserve"> [1]</w:t>
      </w:r>
      <w:r w:rsidR="007C43A9">
        <w:rPr>
          <w:lang w:val="en-US"/>
        </w:rPr>
        <w:t xml:space="preserve"> regarding the</w:t>
      </w:r>
      <w:r w:rsidR="00AE327E">
        <w:rPr>
          <w:lang w:val="en-US"/>
        </w:rPr>
        <w:t xml:space="preserve"> TDD</w:t>
      </w:r>
      <w:r w:rsidR="007C43A9">
        <w:rPr>
          <w:lang w:val="en-US"/>
        </w:rPr>
        <w:t xml:space="preserve"> demodulation requirement for </w:t>
      </w:r>
      <w:r w:rsidR="00AE327E">
        <w:rPr>
          <w:lang w:val="en-US"/>
        </w:rPr>
        <w:t>FeNB-IoT</w:t>
      </w:r>
      <w:r w:rsidR="007C43A9">
        <w:rPr>
          <w:lang w:val="en-US"/>
        </w:rPr>
        <w:t xml:space="preserve"> UE.</w:t>
      </w:r>
    </w:p>
    <w:p w14:paraId="1A9C9C0C" w14:textId="051B3E1F" w:rsidR="003964D2" w:rsidRDefault="003964D2" w:rsidP="00884374">
      <w:pPr>
        <w:spacing w:after="0"/>
        <w:rPr>
          <w:lang w:val="en-US"/>
        </w:rPr>
      </w:pPr>
    </w:p>
    <w:tbl>
      <w:tblPr>
        <w:tblStyle w:val="TableGrid"/>
        <w:tblW w:w="0" w:type="auto"/>
        <w:tblLook w:val="04A0" w:firstRow="1" w:lastRow="0" w:firstColumn="1" w:lastColumn="0" w:noHBand="0" w:noVBand="1"/>
      </w:tblPr>
      <w:tblGrid>
        <w:gridCol w:w="9562"/>
      </w:tblGrid>
      <w:tr w:rsidR="003964D2" w14:paraId="68E8E052" w14:textId="77777777" w:rsidTr="003964D2">
        <w:tc>
          <w:tcPr>
            <w:tcW w:w="9562" w:type="dxa"/>
          </w:tcPr>
          <w:p w14:paraId="66F8DCCA" w14:textId="0815D15B" w:rsidR="00D34B5E" w:rsidRDefault="00D34B5E" w:rsidP="00D34B5E">
            <w:pPr>
              <w:spacing w:after="0"/>
              <w:rPr>
                <w:lang w:val="en-US"/>
              </w:rPr>
            </w:pPr>
            <w:r>
              <w:rPr>
                <w:lang w:val="en-US"/>
              </w:rPr>
              <w:t>R4-1808449 [1]:</w:t>
            </w:r>
          </w:p>
          <w:p w14:paraId="480D3E24" w14:textId="77777777" w:rsidR="00D34B5E" w:rsidRDefault="00D34B5E" w:rsidP="00D34B5E">
            <w:pPr>
              <w:spacing w:after="0"/>
              <w:rPr>
                <w:lang w:val="en-US"/>
              </w:rPr>
            </w:pPr>
          </w:p>
          <w:p w14:paraId="6F3ABCDE" w14:textId="28B5F15A" w:rsidR="00BF322B" w:rsidRPr="003964D2" w:rsidRDefault="003D4AA2" w:rsidP="003964D2">
            <w:pPr>
              <w:numPr>
                <w:ilvl w:val="0"/>
                <w:numId w:val="40"/>
              </w:numPr>
              <w:spacing w:after="0"/>
              <w:rPr>
                <w:lang w:val="en-US"/>
              </w:rPr>
            </w:pPr>
            <w:r w:rsidRPr="003964D2">
              <w:rPr>
                <w:lang w:val="en-US"/>
              </w:rPr>
              <w:t>NPBCH</w:t>
            </w:r>
          </w:p>
          <w:p w14:paraId="3B6C7CFF" w14:textId="77777777" w:rsidR="00BF322B" w:rsidRPr="003964D2" w:rsidRDefault="003D4AA2" w:rsidP="003964D2">
            <w:pPr>
              <w:numPr>
                <w:ilvl w:val="1"/>
                <w:numId w:val="40"/>
              </w:numPr>
              <w:spacing w:after="0"/>
              <w:rPr>
                <w:lang w:val="en-US"/>
              </w:rPr>
            </w:pPr>
            <w:r w:rsidRPr="003964D2">
              <w:t>FFS reuse the NPBCH FDD performance requirements for NPBCH TDD, but with the RMC and test parameters updates for TDD</w:t>
            </w:r>
          </w:p>
          <w:p w14:paraId="4C040F4A" w14:textId="77777777" w:rsidR="00BF322B" w:rsidRPr="003964D2" w:rsidRDefault="003D4AA2" w:rsidP="003964D2">
            <w:pPr>
              <w:numPr>
                <w:ilvl w:val="1"/>
                <w:numId w:val="40"/>
              </w:numPr>
              <w:spacing w:after="0"/>
              <w:rPr>
                <w:lang w:val="en-US"/>
              </w:rPr>
            </w:pPr>
            <w:r w:rsidRPr="003964D2">
              <w:rPr>
                <w:lang w:val="en-US"/>
              </w:rPr>
              <w:t>NPDSCH</w:t>
            </w:r>
          </w:p>
          <w:p w14:paraId="52CB5CC1" w14:textId="77777777" w:rsidR="00BF322B" w:rsidRPr="003964D2" w:rsidRDefault="003D4AA2" w:rsidP="003964D2">
            <w:pPr>
              <w:numPr>
                <w:ilvl w:val="1"/>
                <w:numId w:val="40"/>
              </w:numPr>
              <w:spacing w:after="0"/>
              <w:rPr>
                <w:lang w:val="en-US"/>
              </w:rPr>
            </w:pPr>
            <w:r w:rsidRPr="003964D2">
              <w:rPr>
                <w:lang w:val="en-US"/>
              </w:rPr>
              <w:t>Not define performance requirements for the scenarios with the special subframe configuration 0 and 5 that the number of OFDM symbols in DwPTS equals to 3</w:t>
            </w:r>
          </w:p>
          <w:p w14:paraId="5EB22DE8" w14:textId="77777777" w:rsidR="00BF322B" w:rsidRPr="003964D2" w:rsidRDefault="003D4AA2" w:rsidP="003964D2">
            <w:pPr>
              <w:numPr>
                <w:ilvl w:val="1"/>
                <w:numId w:val="40"/>
              </w:numPr>
              <w:spacing w:after="0"/>
              <w:rPr>
                <w:lang w:val="en-US"/>
              </w:rPr>
            </w:pPr>
            <w:r w:rsidRPr="003964D2">
              <w:rPr>
                <w:lang w:val="en-US"/>
              </w:rPr>
              <w:t>Select special subframe configuration #4 for the scenario that the number of OFDM symbols in DwPTS is larger than 3 for the related NPDSCH TDD demodulation performance evaluation.</w:t>
            </w:r>
          </w:p>
          <w:p w14:paraId="7497F64B" w14:textId="77777777" w:rsidR="00BF322B" w:rsidRPr="003964D2" w:rsidRDefault="003D4AA2" w:rsidP="003964D2">
            <w:pPr>
              <w:numPr>
                <w:ilvl w:val="2"/>
                <w:numId w:val="40"/>
              </w:numPr>
              <w:spacing w:after="0"/>
              <w:rPr>
                <w:lang w:val="en-US"/>
              </w:rPr>
            </w:pPr>
            <w:r w:rsidRPr="003964D2">
              <w:rPr>
                <w:b/>
                <w:bCs/>
                <w:lang w:val="en-US"/>
              </w:rPr>
              <w:t>Option 1</w:t>
            </w:r>
            <w:r w:rsidRPr="003964D2">
              <w:rPr>
                <w:lang w:val="en-US"/>
              </w:rPr>
              <w:t>: Consider to add a certain margin [</w:t>
            </w:r>
            <w:proofErr w:type="gramStart"/>
            <w:r w:rsidRPr="003964D2">
              <w:rPr>
                <w:lang w:val="en-US"/>
              </w:rPr>
              <w:t>0.5]dB</w:t>
            </w:r>
            <w:proofErr w:type="gramEnd"/>
            <w:r w:rsidRPr="003964D2">
              <w:rPr>
                <w:lang w:val="en-US"/>
              </w:rPr>
              <w:t xml:space="preserve"> on top of the existing NPDSCH FDD performance requirements</w:t>
            </w:r>
          </w:p>
          <w:p w14:paraId="04D0935C" w14:textId="77777777" w:rsidR="00BF322B" w:rsidRPr="003964D2" w:rsidRDefault="003D4AA2" w:rsidP="003964D2">
            <w:pPr>
              <w:numPr>
                <w:ilvl w:val="2"/>
                <w:numId w:val="40"/>
              </w:numPr>
              <w:spacing w:after="0"/>
              <w:rPr>
                <w:lang w:val="en-US"/>
              </w:rPr>
            </w:pPr>
            <w:r w:rsidRPr="003964D2">
              <w:rPr>
                <w:b/>
                <w:bCs/>
                <w:lang w:val="en-US"/>
              </w:rPr>
              <w:t xml:space="preserve">Option 2: </w:t>
            </w:r>
            <w:r w:rsidRPr="003964D2">
              <w:rPr>
                <w:lang w:val="en-US"/>
              </w:rPr>
              <w:t>Wait for RAN1 agreements about how to handle transmission in special subframe for further evaluation</w:t>
            </w:r>
          </w:p>
          <w:p w14:paraId="50B1EA7E" w14:textId="77777777" w:rsidR="00BF322B" w:rsidRPr="003964D2" w:rsidRDefault="003D4AA2" w:rsidP="003964D2">
            <w:pPr>
              <w:numPr>
                <w:ilvl w:val="0"/>
                <w:numId w:val="40"/>
              </w:numPr>
              <w:spacing w:after="0"/>
              <w:rPr>
                <w:lang w:val="en-US"/>
              </w:rPr>
            </w:pPr>
            <w:r w:rsidRPr="003964D2">
              <w:rPr>
                <w:lang w:val="en-US"/>
              </w:rPr>
              <w:t>NPDCCH</w:t>
            </w:r>
          </w:p>
          <w:p w14:paraId="547DB4D8" w14:textId="77777777" w:rsidR="00BF322B" w:rsidRPr="003964D2" w:rsidRDefault="003D4AA2" w:rsidP="003964D2">
            <w:pPr>
              <w:numPr>
                <w:ilvl w:val="2"/>
                <w:numId w:val="40"/>
              </w:numPr>
              <w:spacing w:after="0"/>
              <w:rPr>
                <w:lang w:val="en-US"/>
              </w:rPr>
            </w:pPr>
            <w:r w:rsidRPr="003964D2">
              <w:rPr>
                <w:b/>
                <w:bCs/>
                <w:lang w:val="en-US"/>
              </w:rPr>
              <w:t>Option 1</w:t>
            </w:r>
            <w:r w:rsidRPr="003964D2">
              <w:rPr>
                <w:lang w:val="en-US"/>
              </w:rPr>
              <w:t>: Consider to add a certain margin [</w:t>
            </w:r>
            <w:proofErr w:type="gramStart"/>
            <w:r w:rsidRPr="003964D2">
              <w:rPr>
                <w:lang w:val="en-US"/>
              </w:rPr>
              <w:t>0.5]dB</w:t>
            </w:r>
            <w:proofErr w:type="gramEnd"/>
            <w:r w:rsidRPr="003964D2">
              <w:rPr>
                <w:lang w:val="en-US"/>
              </w:rPr>
              <w:t xml:space="preserve"> on top of the existing NPDCCH FDD performance requirements</w:t>
            </w:r>
          </w:p>
          <w:p w14:paraId="758FB0D6" w14:textId="77777777" w:rsidR="00BF322B" w:rsidRPr="003964D2" w:rsidRDefault="003D4AA2" w:rsidP="003964D2">
            <w:pPr>
              <w:numPr>
                <w:ilvl w:val="2"/>
                <w:numId w:val="40"/>
              </w:numPr>
              <w:spacing w:after="0"/>
              <w:rPr>
                <w:lang w:val="en-US"/>
              </w:rPr>
            </w:pPr>
            <w:r w:rsidRPr="003964D2">
              <w:rPr>
                <w:b/>
                <w:bCs/>
                <w:lang w:val="en-US"/>
              </w:rPr>
              <w:t xml:space="preserve">Option 2: </w:t>
            </w:r>
            <w:r w:rsidRPr="003964D2">
              <w:rPr>
                <w:lang w:val="en-US"/>
              </w:rPr>
              <w:t>Wait for RAN1 agreements about how to handle transmission in special subframe for further evaluation</w:t>
            </w:r>
          </w:p>
          <w:p w14:paraId="5C3E9BB9" w14:textId="77777777" w:rsidR="003964D2" w:rsidRDefault="003964D2" w:rsidP="00884374">
            <w:pPr>
              <w:spacing w:after="0"/>
              <w:rPr>
                <w:lang w:val="en-US"/>
              </w:rPr>
            </w:pPr>
          </w:p>
        </w:tc>
      </w:tr>
    </w:tbl>
    <w:p w14:paraId="012AE2DD" w14:textId="77777777" w:rsidR="003964D2" w:rsidRDefault="003964D2" w:rsidP="00884374">
      <w:pPr>
        <w:spacing w:after="0"/>
        <w:rPr>
          <w:lang w:val="en-US"/>
        </w:rPr>
      </w:pPr>
    </w:p>
    <w:p w14:paraId="3F98E0DB" w14:textId="45CE13DD" w:rsidR="0092330C" w:rsidRDefault="0092330C" w:rsidP="00884374">
      <w:pPr>
        <w:spacing w:after="0"/>
        <w:rPr>
          <w:lang w:val="en-US"/>
        </w:rPr>
      </w:pPr>
      <w:r>
        <w:rPr>
          <w:lang w:val="en-US"/>
        </w:rPr>
        <w:t xml:space="preserve">In this paper, we </w:t>
      </w:r>
      <w:r w:rsidR="003964D2">
        <w:rPr>
          <w:lang w:val="en-US"/>
        </w:rPr>
        <w:t xml:space="preserve">present </w:t>
      </w:r>
      <w:r w:rsidR="00D34B5E">
        <w:rPr>
          <w:lang w:val="en-US"/>
        </w:rPr>
        <w:t>our view on the remaining open issues regarding the TDD demodul</w:t>
      </w:r>
      <w:r w:rsidR="00E34614">
        <w:rPr>
          <w:lang w:val="en-US"/>
        </w:rPr>
        <w:t>a</w:t>
      </w:r>
      <w:r w:rsidR="00D34B5E">
        <w:rPr>
          <w:lang w:val="en-US"/>
        </w:rPr>
        <w:t>tion requirement</w:t>
      </w:r>
      <w:r w:rsidR="00B82C43">
        <w:rPr>
          <w:lang w:val="en-US"/>
        </w:rPr>
        <w:t xml:space="preserve"> for NB-IoT UE</w:t>
      </w:r>
      <w:r w:rsidR="00D34B5E">
        <w:rPr>
          <w:lang w:val="en-US"/>
        </w:rPr>
        <w:t>.</w:t>
      </w:r>
    </w:p>
    <w:p w14:paraId="2B5DFDAE" w14:textId="24359447" w:rsidR="007C61D6" w:rsidRDefault="00BF5348" w:rsidP="002B5E9D">
      <w:pPr>
        <w:pStyle w:val="Heading1"/>
        <w:rPr>
          <w:lang w:val="en-US"/>
        </w:rPr>
      </w:pPr>
      <w:r>
        <w:rPr>
          <w:lang w:val="en-US"/>
        </w:rPr>
        <w:t>Discussion</w:t>
      </w:r>
    </w:p>
    <w:p w14:paraId="19029830" w14:textId="7F4D04D7" w:rsidR="000647FF" w:rsidRDefault="00D34B5E" w:rsidP="001C127B">
      <w:pPr>
        <w:pStyle w:val="Heading2"/>
        <w:tabs>
          <w:tab w:val="clear" w:pos="8226"/>
        </w:tabs>
        <w:ind w:left="630" w:hanging="630"/>
        <w:rPr>
          <w:lang w:val="en-US"/>
        </w:rPr>
      </w:pPr>
      <w:r>
        <w:rPr>
          <w:lang w:val="en-US"/>
        </w:rPr>
        <w:t>NPBCH</w:t>
      </w:r>
    </w:p>
    <w:p w14:paraId="48BFAEDB" w14:textId="222185B7" w:rsidR="00147021" w:rsidRDefault="000D06B4" w:rsidP="00147021">
      <w:pPr>
        <w:rPr>
          <w:lang w:val="en-US"/>
        </w:rPr>
      </w:pPr>
      <w:r>
        <w:rPr>
          <w:lang w:val="en-US"/>
        </w:rPr>
        <w:t xml:space="preserve">In TDD NB-IoT, </w:t>
      </w:r>
      <w:r w:rsidR="00734F6E">
        <w:rPr>
          <w:lang w:val="en-US"/>
        </w:rPr>
        <w:t>NPBCH is transmitted every SF9 instead of SF0. While NPBCH subframe in FDD has a guaranteed preceding NRS subframe, NPBCH subframe in TDD may be transmitted without any preceding or following NRS subframes. Such limitation may affect the NPBCH demodulation performance of a UE that uses the channel estimation across the NRS subframes. However, as discussed in the last RAN4 meeting, the existing NPBCH demodulation requirement is defined without considering any cross-subframe NRS channel estimation. To this end, we propose to confirm that NPBCH performance requirement defined for FDD can be reused for TDD.</w:t>
      </w:r>
    </w:p>
    <w:p w14:paraId="7B137200" w14:textId="27FCDECF" w:rsidR="00734F6E" w:rsidRPr="00734F6E" w:rsidRDefault="00734F6E" w:rsidP="00147021">
      <w:pPr>
        <w:rPr>
          <w:b/>
          <w:lang w:val="en-US"/>
        </w:rPr>
      </w:pPr>
      <w:r w:rsidRPr="00734F6E">
        <w:rPr>
          <w:b/>
          <w:lang w:val="en-US"/>
        </w:rPr>
        <w:t>Proposal 1. NPBCH TDD requirement is defined at the same SNR point as FDD</w:t>
      </w:r>
      <w:r>
        <w:rPr>
          <w:b/>
          <w:lang w:val="en-US"/>
        </w:rPr>
        <w:t>, with the RMC and test parameters updated for TDD</w:t>
      </w:r>
      <w:r w:rsidRPr="00734F6E">
        <w:rPr>
          <w:b/>
          <w:lang w:val="en-US"/>
        </w:rPr>
        <w:t>.</w:t>
      </w:r>
    </w:p>
    <w:p w14:paraId="092AE726" w14:textId="2FA33EAA" w:rsidR="00D34B5E" w:rsidRDefault="00D34B5E" w:rsidP="00D34B5E">
      <w:pPr>
        <w:pStyle w:val="Heading2"/>
        <w:tabs>
          <w:tab w:val="clear" w:pos="8226"/>
        </w:tabs>
        <w:ind w:left="630" w:hanging="630"/>
        <w:rPr>
          <w:lang w:val="en-US"/>
        </w:rPr>
      </w:pPr>
      <w:r>
        <w:rPr>
          <w:lang w:val="en-US"/>
        </w:rPr>
        <w:lastRenderedPageBreak/>
        <w:t>NPDSCH</w:t>
      </w:r>
    </w:p>
    <w:p w14:paraId="670C458B" w14:textId="2A6AE420" w:rsidR="00F7038F" w:rsidRDefault="00734F6E" w:rsidP="00BF5348">
      <w:pPr>
        <w:rPr>
          <w:lang w:val="en-US"/>
        </w:rPr>
      </w:pPr>
      <w:r>
        <w:rPr>
          <w:lang w:val="en-US"/>
        </w:rPr>
        <w:t>For NPDSCH and NPDCCH performance, one distinct difference in TDD</w:t>
      </w:r>
      <w:r w:rsidR="00F7038F">
        <w:rPr>
          <w:lang w:val="en-US"/>
        </w:rPr>
        <w:t>, compared to FDD,</w:t>
      </w:r>
      <w:r>
        <w:rPr>
          <w:lang w:val="en-US"/>
        </w:rPr>
        <w:t xml:space="preserve"> is that </w:t>
      </w:r>
      <w:r w:rsidR="00F7038F">
        <w:rPr>
          <w:lang w:val="en-US"/>
        </w:rPr>
        <w:t xml:space="preserve">the different rate matching and puncturing behaviour in the special subframe. Depending on whether it is inband or standalone/guardband and depending on whether the repetition is enabled or not, the rate matching/puncturing behaviour in the special subframe </w:t>
      </w:r>
      <w:r w:rsidR="004A04A3">
        <w:rPr>
          <w:lang w:val="en-US"/>
        </w:rPr>
        <w:t>is</w:t>
      </w:r>
      <w:r w:rsidR="00F7038F">
        <w:rPr>
          <w:lang w:val="en-US"/>
        </w:rPr>
        <w:t xml:space="preserve"> defined differently in RAN1. Figure 1 shows an example of rate-matching/puncturing for the case of in-band deployment with the repetition level &gt; 1. </w:t>
      </w:r>
      <w:proofErr w:type="gramStart"/>
      <w:r w:rsidR="00F7038F">
        <w:rPr>
          <w:lang w:val="en-US"/>
        </w:rPr>
        <w:t>It can be seen that the</w:t>
      </w:r>
      <w:proofErr w:type="gramEnd"/>
      <w:r w:rsidR="00F7038F">
        <w:rPr>
          <w:lang w:val="en-US"/>
        </w:rPr>
        <w:t xml:space="preserve"> effective code rate in the special subframe is </w:t>
      </w:r>
      <w:r w:rsidR="0091086D">
        <w:rPr>
          <w:lang w:val="en-US"/>
        </w:rPr>
        <w:t xml:space="preserve">increased by </w:t>
      </w:r>
      <w:r w:rsidR="00C96F27">
        <w:rPr>
          <w:lang w:val="en-US"/>
        </w:rPr>
        <w:t>38</w:t>
      </w:r>
      <w:r w:rsidR="0091086D">
        <w:rPr>
          <w:lang w:val="en-US"/>
        </w:rPr>
        <w:t>% (=10</w:t>
      </w:r>
      <w:r w:rsidR="00C96F27">
        <w:rPr>
          <w:lang w:val="en-US"/>
        </w:rPr>
        <w:t>0</w:t>
      </w:r>
      <w:r w:rsidR="0091086D">
        <w:rPr>
          <w:lang w:val="en-US"/>
        </w:rPr>
        <w:t>/</w:t>
      </w:r>
      <w:r w:rsidR="00C96F27">
        <w:rPr>
          <w:lang w:val="en-US"/>
        </w:rPr>
        <w:t>72</w:t>
      </w:r>
      <w:r w:rsidR="0091086D">
        <w:rPr>
          <w:lang w:val="en-US"/>
        </w:rPr>
        <w:t xml:space="preserve">), and hence the demodulation performance requirement should be </w:t>
      </w:r>
      <w:r w:rsidR="00C96F27">
        <w:rPr>
          <w:lang w:val="en-US"/>
        </w:rPr>
        <w:t>relaxed</w:t>
      </w:r>
      <w:r w:rsidR="0091086D">
        <w:rPr>
          <w:lang w:val="en-US"/>
        </w:rPr>
        <w:t xml:space="preserve"> accordingly.</w:t>
      </w:r>
    </w:p>
    <w:p w14:paraId="6A890338" w14:textId="636FD2CB" w:rsidR="00F7038F" w:rsidRDefault="00C96F27" w:rsidP="0091086D">
      <w:pPr>
        <w:jc w:val="center"/>
        <w:rPr>
          <w:lang w:val="en-US"/>
        </w:rPr>
      </w:pPr>
      <w:r>
        <w:object w:dxaOrig="10164" w:dyaOrig="8724" w14:anchorId="19A056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130pt" o:ole="">
            <v:imagedata r:id="rId8" o:title=""/>
          </v:shape>
          <o:OLEObject Type="Embed" ProgID="Visio.Drawing.11" ShapeID="_x0000_i1025" DrawAspect="Content" ObjectID="_1595429887" r:id="rId9"/>
        </w:object>
      </w:r>
      <w:r>
        <w:t xml:space="preserve">  </w:t>
      </w:r>
      <w:r>
        <w:object w:dxaOrig="10164" w:dyaOrig="8724" w14:anchorId="40EF637A">
          <v:shape id="_x0000_i1026" type="#_x0000_t75" style="width:152.5pt;height:131pt" o:ole="">
            <v:imagedata r:id="rId10" o:title=""/>
          </v:shape>
          <o:OLEObject Type="Embed" ProgID="Visio.Drawing.11" ShapeID="_x0000_i1026" DrawAspect="Content" ObjectID="_1595429888" r:id="rId11"/>
        </w:object>
      </w:r>
    </w:p>
    <w:p w14:paraId="33CC2861" w14:textId="0439586A" w:rsidR="00F7038F" w:rsidRDefault="00225F44" w:rsidP="00F7038F">
      <w:pPr>
        <w:jc w:val="center"/>
        <w:rPr>
          <w:lang w:val="en-US"/>
        </w:rPr>
      </w:pPr>
      <w:r>
        <w:rPr>
          <w:lang w:val="en-US"/>
        </w:rPr>
        <w:t xml:space="preserve">Figure 1. </w:t>
      </w:r>
      <w:r w:rsidR="00F7038F">
        <w:rPr>
          <w:lang w:val="en-US"/>
        </w:rPr>
        <w:t>Rate-matching/puncturing behaviour in the special subframe (inband, repetition&gt;1</w:t>
      </w:r>
      <w:r w:rsidR="004C7743">
        <w:rPr>
          <w:lang w:val="en-US"/>
        </w:rPr>
        <w:t>, SSF4</w:t>
      </w:r>
      <w:r w:rsidR="00F7038F">
        <w:rPr>
          <w:lang w:val="en-US"/>
        </w:rPr>
        <w:t>)</w:t>
      </w:r>
      <w:r w:rsidR="00C96F27">
        <w:rPr>
          <w:lang w:val="en-US"/>
        </w:rPr>
        <w:t>: REs of the normal subframe not mapped to the special subframe</w:t>
      </w:r>
      <w:r w:rsidR="004A04A3">
        <w:rPr>
          <w:lang w:val="en-US"/>
        </w:rPr>
        <w:t xml:space="preserve"> in red</w:t>
      </w:r>
      <w:r w:rsidR="00C96F27">
        <w:rPr>
          <w:lang w:val="en-US"/>
        </w:rPr>
        <w:t xml:space="preserve"> (left), unused REs in the special subframe</w:t>
      </w:r>
      <w:r w:rsidR="004A04A3">
        <w:rPr>
          <w:lang w:val="en-US"/>
        </w:rPr>
        <w:t xml:space="preserve"> in red</w:t>
      </w:r>
      <w:r w:rsidR="00C96F27">
        <w:rPr>
          <w:lang w:val="en-US"/>
        </w:rPr>
        <w:t xml:space="preserve"> (right)</w:t>
      </w:r>
    </w:p>
    <w:p w14:paraId="5A427ECF" w14:textId="00EA5650" w:rsidR="00F7038F" w:rsidRDefault="004A04A3" w:rsidP="00F7038F">
      <w:pPr>
        <w:rPr>
          <w:lang w:val="en-US"/>
        </w:rPr>
      </w:pPr>
      <w:r>
        <w:rPr>
          <w:lang w:val="en-US"/>
        </w:rPr>
        <w:t>Figure 1 to 4</w:t>
      </w:r>
      <w:r w:rsidR="0091086D">
        <w:rPr>
          <w:lang w:val="en-US"/>
        </w:rPr>
        <w:t xml:space="preserve"> present</w:t>
      </w:r>
      <w:r>
        <w:rPr>
          <w:lang w:val="en-US"/>
        </w:rPr>
        <w:t>s</w:t>
      </w:r>
      <w:r w:rsidR="0091086D">
        <w:rPr>
          <w:lang w:val="en-US"/>
        </w:rPr>
        <w:t xml:space="preserve"> the simulation result for TC 8.12.1.1.3 Test 1</w:t>
      </w:r>
      <w:r w:rsidR="004C7743">
        <w:rPr>
          <w:lang w:val="en-US"/>
        </w:rPr>
        <w:t xml:space="preserve">, </w:t>
      </w:r>
      <w:r w:rsidR="0091086D">
        <w:rPr>
          <w:lang w:val="en-US"/>
        </w:rPr>
        <w:t>TC 8.12.1.1.1 Test 1</w:t>
      </w:r>
      <w:r w:rsidR="004C7743">
        <w:rPr>
          <w:lang w:val="en-US"/>
        </w:rPr>
        <w:t xml:space="preserve">, and TC 8.12.1.1.2 Test </w:t>
      </w:r>
      <w:r w:rsidR="008E3F4D">
        <w:rPr>
          <w:lang w:val="en-US"/>
        </w:rPr>
        <w:t xml:space="preserve">1 and </w:t>
      </w:r>
      <w:r w:rsidR="004C7743">
        <w:rPr>
          <w:lang w:val="en-US"/>
        </w:rPr>
        <w:t>2</w:t>
      </w:r>
      <w:r w:rsidR="0091086D">
        <w:rPr>
          <w:lang w:val="en-US"/>
        </w:rPr>
        <w:t xml:space="preserve"> </w:t>
      </w:r>
      <w:r w:rsidR="00C96F27">
        <w:rPr>
          <w:lang w:val="en-US"/>
        </w:rPr>
        <w:t xml:space="preserve">where the </w:t>
      </w:r>
      <w:r>
        <w:rPr>
          <w:lang w:val="en-US"/>
        </w:rPr>
        <w:t xml:space="preserve">original test parameters are updated such that </w:t>
      </w:r>
      <w:r w:rsidR="004F0009">
        <w:rPr>
          <w:lang w:val="en-US"/>
        </w:rPr>
        <w:t>NPDSCH is transmitted in TDD with the</w:t>
      </w:r>
      <w:r w:rsidR="0091086D">
        <w:rPr>
          <w:lang w:val="en-US"/>
        </w:rPr>
        <w:t xml:space="preserve"> ULDL config of </w:t>
      </w:r>
      <w:r w:rsidR="004F0009">
        <w:rPr>
          <w:lang w:val="en-US"/>
        </w:rPr>
        <w:t xml:space="preserve">1 </w:t>
      </w:r>
      <w:r w:rsidR="0091086D">
        <w:rPr>
          <w:lang w:val="en-US"/>
        </w:rPr>
        <w:t xml:space="preserve">and the special subframe type of </w:t>
      </w:r>
      <w:r w:rsidR="00C96F27">
        <w:rPr>
          <w:lang w:val="en-US"/>
        </w:rPr>
        <w:t>4 as agreed in [1].</w:t>
      </w:r>
      <w:r w:rsidR="004F0009">
        <w:rPr>
          <w:lang w:val="en-US"/>
        </w:rPr>
        <w:t xml:space="preserve"> </w:t>
      </w:r>
      <w:proofErr w:type="gramStart"/>
      <w:r w:rsidR="004F0009">
        <w:rPr>
          <w:lang w:val="en-US"/>
        </w:rPr>
        <w:t>It can be seen that the</w:t>
      </w:r>
      <w:proofErr w:type="gramEnd"/>
      <w:r w:rsidR="004F0009">
        <w:rPr>
          <w:lang w:val="en-US"/>
        </w:rPr>
        <w:t xml:space="preserve"> higher code rate in the special subframe results in </w:t>
      </w:r>
      <w:r w:rsidR="004C7743">
        <w:rPr>
          <w:lang w:val="en-US"/>
        </w:rPr>
        <w:t>up to 1.5</w:t>
      </w:r>
      <w:r w:rsidR="004F0009">
        <w:rPr>
          <w:lang w:val="en-US"/>
        </w:rPr>
        <w:t xml:space="preserve">dB of SNR loss </w:t>
      </w:r>
      <w:r>
        <w:rPr>
          <w:lang w:val="en-US"/>
        </w:rPr>
        <w:t>at</w:t>
      </w:r>
      <w:r w:rsidR="004F0009">
        <w:rPr>
          <w:lang w:val="en-US"/>
        </w:rPr>
        <w:t xml:space="preserve"> the 30% BLER</w:t>
      </w:r>
      <w:r>
        <w:rPr>
          <w:lang w:val="en-US"/>
        </w:rPr>
        <w:t xml:space="preserve"> test point</w:t>
      </w:r>
      <w:r w:rsidR="004F0009">
        <w:rPr>
          <w:lang w:val="en-US"/>
        </w:rPr>
        <w:t xml:space="preserve"> (=70% of the max configured throughput). </w:t>
      </w:r>
      <w:r w:rsidR="008E3F4D">
        <w:rPr>
          <w:lang w:val="en-US"/>
        </w:rPr>
        <w:t>For the higher Doppler test (5Hz) with repetition &gt;1, TC 8.12.1.1.2 Test 1, it is observed that TDD scenario may benefit from the time diversity due to the NPDSCH repetition undergo</w:t>
      </w:r>
      <w:r>
        <w:rPr>
          <w:lang w:val="en-US"/>
        </w:rPr>
        <w:t>ing the</w:t>
      </w:r>
      <w:r w:rsidR="008E3F4D">
        <w:rPr>
          <w:lang w:val="en-US"/>
        </w:rPr>
        <w:t xml:space="preserve"> less correlated channel realization. However, at the 30% BLER test point, TDD still shows 1dB loss compared to FDD. </w:t>
      </w:r>
      <w:r w:rsidR="004F0009">
        <w:rPr>
          <w:lang w:val="en-US"/>
        </w:rPr>
        <w:t>To this end, we propose that the NPDSCH demodulation requirement defined in FDD should be relaxed by 1</w:t>
      </w:r>
      <w:r w:rsidR="008E3F4D">
        <w:rPr>
          <w:lang w:val="en-US"/>
        </w:rPr>
        <w:t>.5</w:t>
      </w:r>
      <w:r w:rsidR="004F0009">
        <w:rPr>
          <w:lang w:val="en-US"/>
        </w:rPr>
        <w:t>dB in TDD.</w:t>
      </w:r>
    </w:p>
    <w:p w14:paraId="70A75D14" w14:textId="0C520FC3" w:rsidR="004F0009" w:rsidRPr="00734F6E" w:rsidRDefault="004F0009" w:rsidP="004F0009">
      <w:pPr>
        <w:rPr>
          <w:b/>
          <w:lang w:val="en-US"/>
        </w:rPr>
      </w:pPr>
      <w:r w:rsidRPr="00734F6E">
        <w:rPr>
          <w:b/>
          <w:lang w:val="en-US"/>
        </w:rPr>
        <w:t xml:space="preserve">Proposal </w:t>
      </w:r>
      <w:r>
        <w:rPr>
          <w:b/>
          <w:lang w:val="en-US"/>
        </w:rPr>
        <w:t>2</w:t>
      </w:r>
      <w:r w:rsidRPr="00734F6E">
        <w:rPr>
          <w:b/>
          <w:lang w:val="en-US"/>
        </w:rPr>
        <w:t xml:space="preserve">. </w:t>
      </w:r>
      <w:r>
        <w:rPr>
          <w:b/>
          <w:lang w:val="en-US"/>
        </w:rPr>
        <w:t xml:space="preserve">Requirement for NPDSCH demodulation in TDD is defined based on </w:t>
      </w:r>
      <w:r w:rsidR="004A04A3">
        <w:rPr>
          <w:b/>
          <w:lang w:val="en-US"/>
        </w:rPr>
        <w:t>FDD requirement</w:t>
      </w:r>
      <w:r>
        <w:rPr>
          <w:b/>
          <w:lang w:val="en-US"/>
        </w:rPr>
        <w:t xml:space="preserve"> with the </w:t>
      </w:r>
      <w:r w:rsidR="004A04A3">
        <w:rPr>
          <w:b/>
          <w:lang w:val="en-US"/>
        </w:rPr>
        <w:t xml:space="preserve">additional </w:t>
      </w:r>
      <w:r>
        <w:rPr>
          <w:b/>
          <w:lang w:val="en-US"/>
        </w:rPr>
        <w:t>margin of [1.</w:t>
      </w:r>
      <w:r w:rsidR="004C7743">
        <w:rPr>
          <w:b/>
          <w:lang w:val="en-US"/>
        </w:rPr>
        <w:t>5</w:t>
      </w:r>
      <w:r>
        <w:rPr>
          <w:b/>
          <w:lang w:val="en-US"/>
        </w:rPr>
        <w:t>] dB</w:t>
      </w:r>
      <w:r w:rsidRPr="00734F6E">
        <w:rPr>
          <w:b/>
          <w:lang w:val="en-US"/>
        </w:rPr>
        <w:t>.</w:t>
      </w:r>
    </w:p>
    <w:p w14:paraId="26E76209" w14:textId="77777777" w:rsidR="004F0009" w:rsidRDefault="004F0009" w:rsidP="00F7038F">
      <w:pPr>
        <w:rPr>
          <w:lang w:val="en-US"/>
        </w:rPr>
      </w:pPr>
    </w:p>
    <w:p w14:paraId="17A69374" w14:textId="7BE227E3" w:rsidR="004F0009" w:rsidRDefault="004F0009" w:rsidP="004F0009">
      <w:pPr>
        <w:jc w:val="center"/>
        <w:rPr>
          <w:lang w:val="en-US"/>
        </w:rPr>
      </w:pPr>
      <w:r>
        <w:rPr>
          <w:noProof/>
        </w:rPr>
        <w:drawing>
          <wp:inline distT="0" distB="0" distL="0" distR="0" wp14:anchorId="2E212361" wp14:editId="735D3553">
            <wp:extent cx="4305300" cy="2616200"/>
            <wp:effectExtent l="0" t="0" r="0" b="12700"/>
            <wp:docPr id="1" name="Chart 1">
              <a:extLst xmlns:a="http://schemas.openxmlformats.org/drawingml/2006/main">
                <a:ext uri="{FF2B5EF4-FFF2-40B4-BE49-F238E27FC236}">
                  <a16:creationId xmlns:a16="http://schemas.microsoft.com/office/drawing/2014/main" id="{620B81B2-0F46-495F-A9F2-23FB60D347A9}"/>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66A8D316" w14:textId="05DB9C69" w:rsidR="004F0009" w:rsidRDefault="004F0009" w:rsidP="004F0009">
      <w:pPr>
        <w:jc w:val="center"/>
        <w:rPr>
          <w:lang w:val="en-US"/>
        </w:rPr>
      </w:pPr>
      <w:r>
        <w:rPr>
          <w:lang w:val="en-US"/>
        </w:rPr>
        <w:t>Figure 1. TC 8.12.1.1.3 Test 1 in TDD (ULDL config = 1, SSF type = 4)</w:t>
      </w:r>
    </w:p>
    <w:p w14:paraId="266FD84E" w14:textId="323BA7AC" w:rsidR="004F0009" w:rsidRDefault="004F0009" w:rsidP="00F7038F">
      <w:pPr>
        <w:rPr>
          <w:lang w:val="en-US"/>
        </w:rPr>
      </w:pPr>
    </w:p>
    <w:p w14:paraId="48D73741" w14:textId="55BB9F8D" w:rsidR="004F0009" w:rsidRDefault="004F0009" w:rsidP="004F0009">
      <w:pPr>
        <w:jc w:val="center"/>
        <w:rPr>
          <w:lang w:val="en-US"/>
        </w:rPr>
      </w:pPr>
      <w:r>
        <w:rPr>
          <w:noProof/>
        </w:rPr>
        <w:lastRenderedPageBreak/>
        <w:drawing>
          <wp:inline distT="0" distB="0" distL="0" distR="0" wp14:anchorId="2138D6C6" wp14:editId="508CC0D3">
            <wp:extent cx="4565650" cy="2952750"/>
            <wp:effectExtent l="0" t="0" r="6350" b="0"/>
            <wp:docPr id="8" name="Chart 8">
              <a:extLst xmlns:a="http://schemas.openxmlformats.org/drawingml/2006/main">
                <a:ext uri="{FF2B5EF4-FFF2-40B4-BE49-F238E27FC236}">
                  <a16:creationId xmlns:a16="http://schemas.microsoft.com/office/drawing/2014/main" id="{7B2C7C57-4AC0-45CF-AAEC-F3FBDEE4D353}"/>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4C7743" w:rsidRPr="004C7743">
        <w:rPr>
          <w:noProof/>
        </w:rPr>
        <w:t xml:space="preserve"> </w:t>
      </w:r>
    </w:p>
    <w:p w14:paraId="036F93F4" w14:textId="35C8D62E" w:rsidR="004F0009" w:rsidRDefault="004F0009" w:rsidP="004F0009">
      <w:pPr>
        <w:jc w:val="center"/>
        <w:rPr>
          <w:lang w:val="en-US"/>
        </w:rPr>
      </w:pPr>
      <w:r>
        <w:rPr>
          <w:lang w:val="en-US"/>
        </w:rPr>
        <w:t>Figure 2. TC 8.12.1.1.1 Test 1 in TDD (ULDL config = 1, SSF type = 4)</w:t>
      </w:r>
    </w:p>
    <w:p w14:paraId="74CD85FD" w14:textId="63927BF6" w:rsidR="008E3F4D" w:rsidRDefault="008E3F4D" w:rsidP="004F0009">
      <w:pPr>
        <w:jc w:val="center"/>
        <w:rPr>
          <w:lang w:val="en-US"/>
        </w:rPr>
      </w:pPr>
      <w:r>
        <w:rPr>
          <w:noProof/>
        </w:rPr>
        <w:drawing>
          <wp:inline distT="0" distB="0" distL="0" distR="0" wp14:anchorId="4D5BD813" wp14:editId="2A360204">
            <wp:extent cx="4529715" cy="2875338"/>
            <wp:effectExtent l="0" t="0" r="4445" b="1270"/>
            <wp:docPr id="2" name="Chart 2">
              <a:extLst xmlns:a="http://schemas.openxmlformats.org/drawingml/2006/main">
                <a:ext uri="{FF2B5EF4-FFF2-40B4-BE49-F238E27FC236}">
                  <a16:creationId xmlns:a16="http://schemas.microsoft.com/office/drawing/2014/main" id="{E6030D56-E61B-426E-9AC2-1BF17A54D1E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14:paraId="05AA8947" w14:textId="318F9AC9" w:rsidR="008E3F4D" w:rsidRDefault="008E3F4D" w:rsidP="004F0009">
      <w:pPr>
        <w:jc w:val="center"/>
        <w:rPr>
          <w:lang w:val="en-US"/>
        </w:rPr>
      </w:pPr>
      <w:r>
        <w:rPr>
          <w:lang w:val="en-US"/>
        </w:rPr>
        <w:t>Figure 3. TC 8.12.1.1.2 Test 1 in TDD (ULDL config = 1, SSF type = 4)</w:t>
      </w:r>
    </w:p>
    <w:p w14:paraId="2AC28D87" w14:textId="2600947C" w:rsidR="004C7743" w:rsidRDefault="004C7743" w:rsidP="004F0009">
      <w:pPr>
        <w:jc w:val="center"/>
        <w:rPr>
          <w:lang w:val="en-US"/>
        </w:rPr>
      </w:pPr>
      <w:r>
        <w:rPr>
          <w:noProof/>
        </w:rPr>
        <w:lastRenderedPageBreak/>
        <w:drawing>
          <wp:inline distT="0" distB="0" distL="0" distR="0" wp14:anchorId="6A6F37A9" wp14:editId="6D95C702">
            <wp:extent cx="4533936" cy="3039191"/>
            <wp:effectExtent l="0" t="0" r="0" b="8890"/>
            <wp:docPr id="4" name="Chart 4">
              <a:extLst xmlns:a="http://schemas.openxmlformats.org/drawingml/2006/main">
                <a:ext uri="{FF2B5EF4-FFF2-40B4-BE49-F238E27FC236}">
                  <a16:creationId xmlns:a16="http://schemas.microsoft.com/office/drawing/2014/main" id="{B5A4778D-58DD-4D3F-B550-3237D20C2814}"/>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14:paraId="7F4D1D27" w14:textId="379ECFDF" w:rsidR="004C7743" w:rsidRDefault="004C7743" w:rsidP="004F0009">
      <w:pPr>
        <w:jc w:val="center"/>
        <w:rPr>
          <w:lang w:val="en-US"/>
        </w:rPr>
      </w:pPr>
      <w:r>
        <w:rPr>
          <w:lang w:val="en-US"/>
        </w:rPr>
        <w:t xml:space="preserve">Figure </w:t>
      </w:r>
      <w:r w:rsidR="008E3F4D">
        <w:rPr>
          <w:lang w:val="en-US"/>
        </w:rPr>
        <w:t>4</w:t>
      </w:r>
      <w:r>
        <w:rPr>
          <w:lang w:val="en-US"/>
        </w:rPr>
        <w:t>. TC 8.12.1.1.2 Test 2 in TDD (ULDL config =1, SSF type=4)</w:t>
      </w:r>
    </w:p>
    <w:p w14:paraId="4D49D581" w14:textId="03E2792A" w:rsidR="00A223CB" w:rsidRDefault="00C96F27" w:rsidP="00A223CB">
      <w:pPr>
        <w:pStyle w:val="Heading2"/>
        <w:tabs>
          <w:tab w:val="clear" w:pos="8226"/>
        </w:tabs>
        <w:ind w:left="630" w:hanging="630"/>
        <w:rPr>
          <w:lang w:val="en-US"/>
        </w:rPr>
      </w:pPr>
      <w:r>
        <w:rPr>
          <w:lang w:val="en-US"/>
        </w:rPr>
        <w:t>NPDCCH</w:t>
      </w:r>
    </w:p>
    <w:p w14:paraId="622D8903" w14:textId="77777777" w:rsidR="004F0009" w:rsidRDefault="004F0009" w:rsidP="00A223CB">
      <w:r>
        <w:t>Relative code rate increase due to the special subframe should be identical between NPDSCH and NPDCCH demodulation cases. Therefore, our view is that the same relaxation we introduce for NPDSCH demodulation requirement in TDD can be re-used for NPDCCH demodulation requirement in TDD.</w:t>
      </w:r>
    </w:p>
    <w:p w14:paraId="379B09E9" w14:textId="659506E0" w:rsidR="004A04A3" w:rsidRPr="00734F6E" w:rsidRDefault="004A04A3" w:rsidP="004A04A3">
      <w:pPr>
        <w:rPr>
          <w:b/>
          <w:lang w:val="en-US"/>
        </w:rPr>
      </w:pPr>
      <w:r w:rsidRPr="00734F6E">
        <w:rPr>
          <w:b/>
          <w:lang w:val="en-US"/>
        </w:rPr>
        <w:t xml:space="preserve">Proposal </w:t>
      </w:r>
      <w:r>
        <w:rPr>
          <w:b/>
          <w:lang w:val="en-US"/>
        </w:rPr>
        <w:t>3</w:t>
      </w:r>
      <w:r w:rsidRPr="00734F6E">
        <w:rPr>
          <w:b/>
          <w:lang w:val="en-US"/>
        </w:rPr>
        <w:t xml:space="preserve">. </w:t>
      </w:r>
      <w:r>
        <w:rPr>
          <w:b/>
          <w:lang w:val="en-US"/>
        </w:rPr>
        <w:t>Requirement for NPDCCH demodulation in TDD is defined based on FDD requirement with the additional margin of [1.5] dB</w:t>
      </w:r>
      <w:r w:rsidRPr="00734F6E">
        <w:rPr>
          <w:b/>
          <w:lang w:val="en-US"/>
        </w:rPr>
        <w:t>.</w:t>
      </w:r>
    </w:p>
    <w:p w14:paraId="05109B46" w14:textId="77777777" w:rsidR="00F2107A" w:rsidRDefault="0032488E" w:rsidP="005D6C7D">
      <w:pPr>
        <w:pStyle w:val="Heading1"/>
        <w:rPr>
          <w:lang w:val="en-US"/>
        </w:rPr>
      </w:pPr>
      <w:r>
        <w:rPr>
          <w:lang w:val="en-US"/>
        </w:rPr>
        <w:t>Con</w:t>
      </w:r>
      <w:r w:rsidR="00F2107A">
        <w:rPr>
          <w:lang w:val="en-US"/>
        </w:rPr>
        <w:t>clusions</w:t>
      </w:r>
    </w:p>
    <w:p w14:paraId="1F5C11A1" w14:textId="78CD1206" w:rsidR="005D7959" w:rsidRDefault="005D7959" w:rsidP="005D7959">
      <w:pPr>
        <w:spacing w:after="0"/>
        <w:rPr>
          <w:lang w:val="en-US"/>
        </w:rPr>
      </w:pPr>
      <w:r>
        <w:rPr>
          <w:lang w:val="en-US"/>
        </w:rPr>
        <w:t xml:space="preserve">In this paper, we </w:t>
      </w:r>
      <w:r w:rsidR="00102DCC">
        <w:rPr>
          <w:lang w:val="en-US"/>
        </w:rPr>
        <w:t xml:space="preserve">discussed the remaining open issues in the demodulation requirement for </w:t>
      </w:r>
      <w:r w:rsidR="00C96F27">
        <w:rPr>
          <w:lang w:val="en-US"/>
        </w:rPr>
        <w:t>TDD NB-IoT U</w:t>
      </w:r>
      <w:r w:rsidR="00102DCC">
        <w:rPr>
          <w:lang w:val="en-US"/>
        </w:rPr>
        <w:t>E. The proposals made in this paper are summarized as follows.</w:t>
      </w:r>
      <w:bookmarkStart w:id="0" w:name="_GoBack"/>
      <w:bookmarkEnd w:id="0"/>
    </w:p>
    <w:p w14:paraId="027B7C70" w14:textId="56617F8C" w:rsidR="00C96F27" w:rsidRDefault="00C96F27" w:rsidP="005D7959">
      <w:pPr>
        <w:spacing w:after="0"/>
        <w:rPr>
          <w:lang w:val="en-US"/>
        </w:rPr>
      </w:pPr>
    </w:p>
    <w:p w14:paraId="09A3FD6E" w14:textId="32307BDC" w:rsidR="00C96F27" w:rsidRDefault="00C96F27" w:rsidP="00C96F27">
      <w:pPr>
        <w:rPr>
          <w:b/>
          <w:lang w:val="en-US"/>
        </w:rPr>
      </w:pPr>
      <w:r w:rsidRPr="00734F6E">
        <w:rPr>
          <w:b/>
          <w:lang w:val="en-US"/>
        </w:rPr>
        <w:t>Proposal 1. NPBCH TDD requirement is defined at the same SNR point as FDD</w:t>
      </w:r>
      <w:r>
        <w:rPr>
          <w:b/>
          <w:lang w:val="en-US"/>
        </w:rPr>
        <w:t>, with the RMC and test parameters updated for TDD</w:t>
      </w:r>
      <w:r w:rsidRPr="00734F6E">
        <w:rPr>
          <w:b/>
          <w:lang w:val="en-US"/>
        </w:rPr>
        <w:t>.</w:t>
      </w:r>
    </w:p>
    <w:p w14:paraId="27633B00" w14:textId="77777777" w:rsidR="004A04A3" w:rsidRPr="00734F6E" w:rsidRDefault="004A04A3" w:rsidP="004A04A3">
      <w:pPr>
        <w:rPr>
          <w:b/>
          <w:lang w:val="en-US"/>
        </w:rPr>
      </w:pPr>
      <w:r w:rsidRPr="00734F6E">
        <w:rPr>
          <w:b/>
          <w:lang w:val="en-US"/>
        </w:rPr>
        <w:t xml:space="preserve">Proposal </w:t>
      </w:r>
      <w:r>
        <w:rPr>
          <w:b/>
          <w:lang w:val="en-US"/>
        </w:rPr>
        <w:t>2</w:t>
      </w:r>
      <w:r w:rsidRPr="00734F6E">
        <w:rPr>
          <w:b/>
          <w:lang w:val="en-US"/>
        </w:rPr>
        <w:t xml:space="preserve">. </w:t>
      </w:r>
      <w:r>
        <w:rPr>
          <w:b/>
          <w:lang w:val="en-US"/>
        </w:rPr>
        <w:t>Requirement for NPDSCH demodulation in TDD is defined based on FDD requirement with the additional margin of [1.5] dB</w:t>
      </w:r>
      <w:r w:rsidRPr="00734F6E">
        <w:rPr>
          <w:b/>
          <w:lang w:val="en-US"/>
        </w:rPr>
        <w:t>.</w:t>
      </w:r>
    </w:p>
    <w:p w14:paraId="24DB41DF" w14:textId="23688071" w:rsidR="004A04A3" w:rsidRPr="00734F6E" w:rsidRDefault="004A04A3" w:rsidP="004A04A3">
      <w:pPr>
        <w:rPr>
          <w:b/>
          <w:lang w:val="en-US"/>
        </w:rPr>
      </w:pPr>
      <w:r w:rsidRPr="00734F6E">
        <w:rPr>
          <w:b/>
          <w:lang w:val="en-US"/>
        </w:rPr>
        <w:t xml:space="preserve">Proposal </w:t>
      </w:r>
      <w:r>
        <w:rPr>
          <w:b/>
          <w:lang w:val="en-US"/>
        </w:rPr>
        <w:t>3</w:t>
      </w:r>
      <w:r w:rsidRPr="00734F6E">
        <w:rPr>
          <w:b/>
          <w:lang w:val="en-US"/>
        </w:rPr>
        <w:t xml:space="preserve">. </w:t>
      </w:r>
      <w:r>
        <w:rPr>
          <w:b/>
          <w:lang w:val="en-US"/>
        </w:rPr>
        <w:t>Requirement for NPD</w:t>
      </w:r>
      <w:r>
        <w:rPr>
          <w:b/>
          <w:lang w:val="en-US"/>
        </w:rPr>
        <w:t>C</w:t>
      </w:r>
      <w:r>
        <w:rPr>
          <w:b/>
          <w:lang w:val="en-US"/>
        </w:rPr>
        <w:t>CH demodulation in TDD is defined based on FDD requirement with the additional margin of [1.5] dB</w:t>
      </w:r>
      <w:r w:rsidRPr="00734F6E">
        <w:rPr>
          <w:b/>
          <w:lang w:val="en-US"/>
        </w:rPr>
        <w:t>.</w:t>
      </w:r>
    </w:p>
    <w:p w14:paraId="73675C2C" w14:textId="37224E06" w:rsidR="001E1039" w:rsidRPr="004A04A3" w:rsidRDefault="001E1039" w:rsidP="001E1039">
      <w:pPr>
        <w:spacing w:after="0"/>
        <w:rPr>
          <w:lang w:val="en-US"/>
        </w:rPr>
      </w:pPr>
    </w:p>
    <w:p w14:paraId="0C633F9D" w14:textId="77777777" w:rsidR="00797CE5" w:rsidRDefault="00797CE5" w:rsidP="006050F7">
      <w:pPr>
        <w:pStyle w:val="Heading1"/>
        <w:numPr>
          <w:ilvl w:val="0"/>
          <w:numId w:val="0"/>
        </w:numPr>
        <w:rPr>
          <w:lang w:val="en-US"/>
        </w:rPr>
      </w:pPr>
      <w:r>
        <w:rPr>
          <w:lang w:val="en-US"/>
        </w:rPr>
        <w:t>References</w:t>
      </w:r>
    </w:p>
    <w:p w14:paraId="568C1651" w14:textId="7A973B9D" w:rsidR="00797CE5" w:rsidRDefault="00797CE5" w:rsidP="00797CE5">
      <w:pPr>
        <w:rPr>
          <w:lang w:val="en-US"/>
        </w:rPr>
      </w:pPr>
      <w:r>
        <w:rPr>
          <w:lang w:val="en-US"/>
        </w:rPr>
        <w:t xml:space="preserve">[1] </w:t>
      </w:r>
      <w:r w:rsidRPr="00797CE5">
        <w:rPr>
          <w:lang w:val="en-US"/>
        </w:rPr>
        <w:t>R</w:t>
      </w:r>
      <w:r w:rsidR="00020E38">
        <w:rPr>
          <w:lang w:val="en-US"/>
        </w:rPr>
        <w:t>4</w:t>
      </w:r>
      <w:r w:rsidRPr="00797CE5">
        <w:rPr>
          <w:lang w:val="en-US"/>
        </w:rPr>
        <w:t>-</w:t>
      </w:r>
      <w:r w:rsidR="001F55D4">
        <w:rPr>
          <w:lang w:val="en-US"/>
        </w:rPr>
        <w:t>180</w:t>
      </w:r>
      <w:r w:rsidR="007C43A9">
        <w:rPr>
          <w:lang w:val="en-US"/>
        </w:rPr>
        <w:t>8</w:t>
      </w:r>
      <w:r w:rsidR="00D34B5E">
        <w:rPr>
          <w:lang w:val="en-US"/>
        </w:rPr>
        <w:t>44</w:t>
      </w:r>
      <w:r w:rsidR="007C43A9">
        <w:rPr>
          <w:lang w:val="en-US"/>
        </w:rPr>
        <w:t>9</w:t>
      </w:r>
      <w:r>
        <w:rPr>
          <w:lang w:val="en-US"/>
        </w:rPr>
        <w:t>, “</w:t>
      </w:r>
      <w:r w:rsidR="00D34B5E" w:rsidRPr="00D34B5E">
        <w:rPr>
          <w:lang w:val="en-US"/>
        </w:rPr>
        <w:t>Way forward on UE FeNB-IoT TDD demodulation performance</w:t>
      </w:r>
      <w:r w:rsidRPr="00797CE5">
        <w:rPr>
          <w:lang w:val="en-US"/>
        </w:rPr>
        <w:t>”</w:t>
      </w:r>
      <w:r w:rsidR="00020E38">
        <w:rPr>
          <w:lang w:val="en-US"/>
        </w:rPr>
        <w:t xml:space="preserve">, </w:t>
      </w:r>
      <w:r w:rsidR="00BF5348">
        <w:rPr>
          <w:lang w:val="en-US"/>
        </w:rPr>
        <w:t>Huawei</w:t>
      </w:r>
      <w:r w:rsidR="00020E38">
        <w:rPr>
          <w:lang w:val="en-US"/>
        </w:rPr>
        <w:t>,</w:t>
      </w:r>
      <w:r w:rsidR="00BF5348">
        <w:rPr>
          <w:lang w:val="en-US"/>
        </w:rPr>
        <w:t xml:space="preserve"> HiSilicon,</w:t>
      </w:r>
      <w:r w:rsidRPr="00797CE5">
        <w:rPr>
          <w:lang w:val="en-US"/>
        </w:rPr>
        <w:t xml:space="preserve"> </w:t>
      </w:r>
      <w:r w:rsidR="00D34B5E">
        <w:rPr>
          <w:lang w:val="en-US"/>
        </w:rPr>
        <w:t xml:space="preserve">Qualcomm, Ericsson, </w:t>
      </w:r>
      <w:r w:rsidRPr="00797CE5">
        <w:rPr>
          <w:lang w:val="en-US"/>
        </w:rPr>
        <w:t>TSG-RAN</w:t>
      </w:r>
      <w:r w:rsidR="001F55D4">
        <w:rPr>
          <w:lang w:val="en-US"/>
        </w:rPr>
        <w:t>4</w:t>
      </w:r>
      <w:r w:rsidRPr="00797CE5">
        <w:rPr>
          <w:lang w:val="en-US"/>
        </w:rPr>
        <w:t xml:space="preserve"> #</w:t>
      </w:r>
      <w:r w:rsidR="001F55D4">
        <w:rPr>
          <w:lang w:val="en-US"/>
        </w:rPr>
        <w:t>8</w:t>
      </w:r>
      <w:r w:rsidR="00BF5348">
        <w:rPr>
          <w:lang w:val="en-US"/>
        </w:rPr>
        <w:t>7</w:t>
      </w:r>
    </w:p>
    <w:p w14:paraId="05891966" w14:textId="71FF9CDC" w:rsidR="00FC7471" w:rsidRDefault="00FC7471" w:rsidP="00797CE5">
      <w:pPr>
        <w:rPr>
          <w:lang w:val="en-US"/>
        </w:rPr>
      </w:pPr>
    </w:p>
    <w:sectPr w:rsidR="00FC7471" w:rsidSect="00571A0A">
      <w:footerReference w:type="even" r:id="rId16"/>
      <w:footerReference w:type="default" r:id="rId17"/>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FB685" w14:textId="77777777" w:rsidR="00D02148" w:rsidRDefault="00D02148">
      <w:r>
        <w:separator/>
      </w:r>
    </w:p>
  </w:endnote>
  <w:endnote w:type="continuationSeparator" w:id="0">
    <w:p w14:paraId="518B4FA9" w14:textId="77777777" w:rsidR="00D02148" w:rsidRDefault="00D021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Arial"/>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86762F" w:rsidRDefault="008676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86762F" w:rsidRDefault="008676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86762F" w:rsidRDefault="0086762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86762F" w:rsidRDefault="0086762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DB330" w14:textId="77777777" w:rsidR="00D02148" w:rsidRDefault="00D02148">
      <w:r>
        <w:separator/>
      </w:r>
    </w:p>
  </w:footnote>
  <w:footnote w:type="continuationSeparator" w:id="0">
    <w:p w14:paraId="1693D83A" w14:textId="77777777" w:rsidR="00D02148" w:rsidRDefault="00D021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E0284"/>
    <w:multiLevelType w:val="hybridMultilevel"/>
    <w:tmpl w:val="4E80037E"/>
    <w:lvl w:ilvl="0" w:tplc="506EFE66">
      <w:start w:val="1"/>
      <w:numFmt w:val="bullet"/>
      <w:lvlText w:val="•"/>
      <w:lvlJc w:val="left"/>
      <w:pPr>
        <w:tabs>
          <w:tab w:val="num" w:pos="720"/>
        </w:tabs>
        <w:ind w:left="720" w:hanging="360"/>
      </w:pPr>
      <w:rPr>
        <w:rFonts w:ascii="Arial" w:hAnsi="Arial" w:hint="default"/>
      </w:rPr>
    </w:lvl>
    <w:lvl w:ilvl="1" w:tplc="2390CB9A" w:tentative="1">
      <w:start w:val="1"/>
      <w:numFmt w:val="bullet"/>
      <w:lvlText w:val="•"/>
      <w:lvlJc w:val="left"/>
      <w:pPr>
        <w:tabs>
          <w:tab w:val="num" w:pos="1440"/>
        </w:tabs>
        <w:ind w:left="1440" w:hanging="360"/>
      </w:pPr>
      <w:rPr>
        <w:rFonts w:ascii="Arial" w:hAnsi="Arial" w:hint="default"/>
      </w:rPr>
    </w:lvl>
    <w:lvl w:ilvl="2" w:tplc="7D687D48" w:tentative="1">
      <w:start w:val="1"/>
      <w:numFmt w:val="bullet"/>
      <w:lvlText w:val="•"/>
      <w:lvlJc w:val="left"/>
      <w:pPr>
        <w:tabs>
          <w:tab w:val="num" w:pos="2160"/>
        </w:tabs>
        <w:ind w:left="2160" w:hanging="360"/>
      </w:pPr>
      <w:rPr>
        <w:rFonts w:ascii="Arial" w:hAnsi="Arial" w:hint="default"/>
      </w:rPr>
    </w:lvl>
    <w:lvl w:ilvl="3" w:tplc="99F61922" w:tentative="1">
      <w:start w:val="1"/>
      <w:numFmt w:val="bullet"/>
      <w:lvlText w:val="•"/>
      <w:lvlJc w:val="left"/>
      <w:pPr>
        <w:tabs>
          <w:tab w:val="num" w:pos="2880"/>
        </w:tabs>
        <w:ind w:left="2880" w:hanging="360"/>
      </w:pPr>
      <w:rPr>
        <w:rFonts w:ascii="Arial" w:hAnsi="Arial" w:hint="default"/>
      </w:rPr>
    </w:lvl>
    <w:lvl w:ilvl="4" w:tplc="915E6C70" w:tentative="1">
      <w:start w:val="1"/>
      <w:numFmt w:val="bullet"/>
      <w:lvlText w:val="•"/>
      <w:lvlJc w:val="left"/>
      <w:pPr>
        <w:tabs>
          <w:tab w:val="num" w:pos="3600"/>
        </w:tabs>
        <w:ind w:left="3600" w:hanging="360"/>
      </w:pPr>
      <w:rPr>
        <w:rFonts w:ascii="Arial" w:hAnsi="Arial" w:hint="default"/>
      </w:rPr>
    </w:lvl>
    <w:lvl w:ilvl="5" w:tplc="5F02507A" w:tentative="1">
      <w:start w:val="1"/>
      <w:numFmt w:val="bullet"/>
      <w:lvlText w:val="•"/>
      <w:lvlJc w:val="left"/>
      <w:pPr>
        <w:tabs>
          <w:tab w:val="num" w:pos="4320"/>
        </w:tabs>
        <w:ind w:left="4320" w:hanging="360"/>
      </w:pPr>
      <w:rPr>
        <w:rFonts w:ascii="Arial" w:hAnsi="Arial" w:hint="default"/>
      </w:rPr>
    </w:lvl>
    <w:lvl w:ilvl="6" w:tplc="E25CA6A0" w:tentative="1">
      <w:start w:val="1"/>
      <w:numFmt w:val="bullet"/>
      <w:lvlText w:val="•"/>
      <w:lvlJc w:val="left"/>
      <w:pPr>
        <w:tabs>
          <w:tab w:val="num" w:pos="5040"/>
        </w:tabs>
        <w:ind w:left="5040" w:hanging="360"/>
      </w:pPr>
      <w:rPr>
        <w:rFonts w:ascii="Arial" w:hAnsi="Arial" w:hint="default"/>
      </w:rPr>
    </w:lvl>
    <w:lvl w:ilvl="7" w:tplc="C8A29718" w:tentative="1">
      <w:start w:val="1"/>
      <w:numFmt w:val="bullet"/>
      <w:lvlText w:val="•"/>
      <w:lvlJc w:val="left"/>
      <w:pPr>
        <w:tabs>
          <w:tab w:val="num" w:pos="5760"/>
        </w:tabs>
        <w:ind w:left="5760" w:hanging="360"/>
      </w:pPr>
      <w:rPr>
        <w:rFonts w:ascii="Arial" w:hAnsi="Arial" w:hint="default"/>
      </w:rPr>
    </w:lvl>
    <w:lvl w:ilvl="8" w:tplc="F0126E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5A2A1A"/>
    <w:multiLevelType w:val="hybridMultilevel"/>
    <w:tmpl w:val="F5FECC2A"/>
    <w:lvl w:ilvl="0" w:tplc="6E1C9E4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602450"/>
    <w:multiLevelType w:val="hybridMultilevel"/>
    <w:tmpl w:val="9E080D02"/>
    <w:lvl w:ilvl="0" w:tplc="D2B297E4">
      <w:start w:val="10"/>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4E4ED2"/>
    <w:multiLevelType w:val="hybridMultilevel"/>
    <w:tmpl w:val="3CEA6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344E66"/>
    <w:multiLevelType w:val="hybridMultilevel"/>
    <w:tmpl w:val="E658738E"/>
    <w:lvl w:ilvl="0" w:tplc="9592AB5E">
      <w:start w:val="1"/>
      <w:numFmt w:val="bullet"/>
      <w:lvlText w:val=""/>
      <w:lvlJc w:val="left"/>
      <w:pPr>
        <w:tabs>
          <w:tab w:val="num" w:pos="720"/>
        </w:tabs>
        <w:ind w:left="720" w:hanging="360"/>
      </w:pPr>
      <w:rPr>
        <w:rFonts w:ascii="Wingdings" w:hAnsi="Wingdings" w:hint="default"/>
      </w:rPr>
    </w:lvl>
    <w:lvl w:ilvl="1" w:tplc="A7F27E94">
      <w:start w:val="1"/>
      <w:numFmt w:val="bullet"/>
      <w:lvlText w:val=""/>
      <w:lvlJc w:val="left"/>
      <w:pPr>
        <w:tabs>
          <w:tab w:val="num" w:pos="1440"/>
        </w:tabs>
        <w:ind w:left="1440" w:hanging="360"/>
      </w:pPr>
      <w:rPr>
        <w:rFonts w:ascii="Wingdings" w:hAnsi="Wingdings" w:hint="default"/>
      </w:rPr>
    </w:lvl>
    <w:lvl w:ilvl="2" w:tplc="7D84CA74" w:tentative="1">
      <w:start w:val="1"/>
      <w:numFmt w:val="bullet"/>
      <w:lvlText w:val=""/>
      <w:lvlJc w:val="left"/>
      <w:pPr>
        <w:tabs>
          <w:tab w:val="num" w:pos="2160"/>
        </w:tabs>
        <w:ind w:left="2160" w:hanging="360"/>
      </w:pPr>
      <w:rPr>
        <w:rFonts w:ascii="Wingdings" w:hAnsi="Wingdings" w:hint="default"/>
      </w:rPr>
    </w:lvl>
    <w:lvl w:ilvl="3" w:tplc="786E9B70" w:tentative="1">
      <w:start w:val="1"/>
      <w:numFmt w:val="bullet"/>
      <w:lvlText w:val=""/>
      <w:lvlJc w:val="left"/>
      <w:pPr>
        <w:tabs>
          <w:tab w:val="num" w:pos="2880"/>
        </w:tabs>
        <w:ind w:left="2880" w:hanging="360"/>
      </w:pPr>
      <w:rPr>
        <w:rFonts w:ascii="Wingdings" w:hAnsi="Wingdings" w:hint="default"/>
      </w:rPr>
    </w:lvl>
    <w:lvl w:ilvl="4" w:tplc="87C64A54" w:tentative="1">
      <w:start w:val="1"/>
      <w:numFmt w:val="bullet"/>
      <w:lvlText w:val=""/>
      <w:lvlJc w:val="left"/>
      <w:pPr>
        <w:tabs>
          <w:tab w:val="num" w:pos="3600"/>
        </w:tabs>
        <w:ind w:left="3600" w:hanging="360"/>
      </w:pPr>
      <w:rPr>
        <w:rFonts w:ascii="Wingdings" w:hAnsi="Wingdings" w:hint="default"/>
      </w:rPr>
    </w:lvl>
    <w:lvl w:ilvl="5" w:tplc="08E6B21A" w:tentative="1">
      <w:start w:val="1"/>
      <w:numFmt w:val="bullet"/>
      <w:lvlText w:val=""/>
      <w:lvlJc w:val="left"/>
      <w:pPr>
        <w:tabs>
          <w:tab w:val="num" w:pos="4320"/>
        </w:tabs>
        <w:ind w:left="4320" w:hanging="360"/>
      </w:pPr>
      <w:rPr>
        <w:rFonts w:ascii="Wingdings" w:hAnsi="Wingdings" w:hint="default"/>
      </w:rPr>
    </w:lvl>
    <w:lvl w:ilvl="6" w:tplc="1B8C35FC" w:tentative="1">
      <w:start w:val="1"/>
      <w:numFmt w:val="bullet"/>
      <w:lvlText w:val=""/>
      <w:lvlJc w:val="left"/>
      <w:pPr>
        <w:tabs>
          <w:tab w:val="num" w:pos="5040"/>
        </w:tabs>
        <w:ind w:left="5040" w:hanging="360"/>
      </w:pPr>
      <w:rPr>
        <w:rFonts w:ascii="Wingdings" w:hAnsi="Wingdings" w:hint="default"/>
      </w:rPr>
    </w:lvl>
    <w:lvl w:ilvl="7" w:tplc="922E98BC" w:tentative="1">
      <w:start w:val="1"/>
      <w:numFmt w:val="bullet"/>
      <w:lvlText w:val=""/>
      <w:lvlJc w:val="left"/>
      <w:pPr>
        <w:tabs>
          <w:tab w:val="num" w:pos="5760"/>
        </w:tabs>
        <w:ind w:left="5760" w:hanging="360"/>
      </w:pPr>
      <w:rPr>
        <w:rFonts w:ascii="Wingdings" w:hAnsi="Wingdings" w:hint="default"/>
      </w:rPr>
    </w:lvl>
    <w:lvl w:ilvl="8" w:tplc="F6BAC77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BC4803"/>
    <w:multiLevelType w:val="hybridMultilevel"/>
    <w:tmpl w:val="B3345130"/>
    <w:lvl w:ilvl="0" w:tplc="54C6C16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75B4873"/>
    <w:multiLevelType w:val="hybridMultilevel"/>
    <w:tmpl w:val="63DA2732"/>
    <w:lvl w:ilvl="0" w:tplc="0CC6821A">
      <w:start w:val="1"/>
      <w:numFmt w:val="bullet"/>
      <w:lvlText w:val="•"/>
      <w:lvlJc w:val="left"/>
      <w:pPr>
        <w:tabs>
          <w:tab w:val="num" w:pos="720"/>
        </w:tabs>
        <w:ind w:left="720" w:hanging="360"/>
      </w:pPr>
      <w:rPr>
        <w:rFonts w:ascii="Arial" w:hAnsi="Arial" w:hint="default"/>
      </w:rPr>
    </w:lvl>
    <w:lvl w:ilvl="1" w:tplc="C19E7076">
      <w:start w:val="302"/>
      <w:numFmt w:val="bullet"/>
      <w:lvlText w:val="–"/>
      <w:lvlJc w:val="left"/>
      <w:pPr>
        <w:tabs>
          <w:tab w:val="num" w:pos="1440"/>
        </w:tabs>
        <w:ind w:left="1440" w:hanging="360"/>
      </w:pPr>
      <w:rPr>
        <w:rFonts w:ascii="Arial" w:hAnsi="Arial" w:hint="default"/>
      </w:rPr>
    </w:lvl>
    <w:lvl w:ilvl="2" w:tplc="0072781A">
      <w:start w:val="302"/>
      <w:numFmt w:val="bullet"/>
      <w:lvlText w:val="•"/>
      <w:lvlJc w:val="left"/>
      <w:pPr>
        <w:tabs>
          <w:tab w:val="num" w:pos="2160"/>
        </w:tabs>
        <w:ind w:left="2160" w:hanging="360"/>
      </w:pPr>
      <w:rPr>
        <w:rFonts w:ascii="Arial" w:hAnsi="Arial" w:hint="default"/>
      </w:rPr>
    </w:lvl>
    <w:lvl w:ilvl="3" w:tplc="F4283AC2" w:tentative="1">
      <w:start w:val="1"/>
      <w:numFmt w:val="bullet"/>
      <w:lvlText w:val="•"/>
      <w:lvlJc w:val="left"/>
      <w:pPr>
        <w:tabs>
          <w:tab w:val="num" w:pos="2880"/>
        </w:tabs>
        <w:ind w:left="2880" w:hanging="360"/>
      </w:pPr>
      <w:rPr>
        <w:rFonts w:ascii="Arial" w:hAnsi="Arial" w:hint="default"/>
      </w:rPr>
    </w:lvl>
    <w:lvl w:ilvl="4" w:tplc="A5C89650" w:tentative="1">
      <w:start w:val="1"/>
      <w:numFmt w:val="bullet"/>
      <w:lvlText w:val="•"/>
      <w:lvlJc w:val="left"/>
      <w:pPr>
        <w:tabs>
          <w:tab w:val="num" w:pos="3600"/>
        </w:tabs>
        <w:ind w:left="3600" w:hanging="360"/>
      </w:pPr>
      <w:rPr>
        <w:rFonts w:ascii="Arial" w:hAnsi="Arial" w:hint="default"/>
      </w:rPr>
    </w:lvl>
    <w:lvl w:ilvl="5" w:tplc="25628824" w:tentative="1">
      <w:start w:val="1"/>
      <w:numFmt w:val="bullet"/>
      <w:lvlText w:val="•"/>
      <w:lvlJc w:val="left"/>
      <w:pPr>
        <w:tabs>
          <w:tab w:val="num" w:pos="4320"/>
        </w:tabs>
        <w:ind w:left="4320" w:hanging="360"/>
      </w:pPr>
      <w:rPr>
        <w:rFonts w:ascii="Arial" w:hAnsi="Arial" w:hint="default"/>
      </w:rPr>
    </w:lvl>
    <w:lvl w:ilvl="6" w:tplc="6A50E0D8" w:tentative="1">
      <w:start w:val="1"/>
      <w:numFmt w:val="bullet"/>
      <w:lvlText w:val="•"/>
      <w:lvlJc w:val="left"/>
      <w:pPr>
        <w:tabs>
          <w:tab w:val="num" w:pos="5040"/>
        </w:tabs>
        <w:ind w:left="5040" w:hanging="360"/>
      </w:pPr>
      <w:rPr>
        <w:rFonts w:ascii="Arial" w:hAnsi="Arial" w:hint="default"/>
      </w:rPr>
    </w:lvl>
    <w:lvl w:ilvl="7" w:tplc="55B2EB20" w:tentative="1">
      <w:start w:val="1"/>
      <w:numFmt w:val="bullet"/>
      <w:lvlText w:val="•"/>
      <w:lvlJc w:val="left"/>
      <w:pPr>
        <w:tabs>
          <w:tab w:val="num" w:pos="5760"/>
        </w:tabs>
        <w:ind w:left="5760" w:hanging="360"/>
      </w:pPr>
      <w:rPr>
        <w:rFonts w:ascii="Arial" w:hAnsi="Arial" w:hint="default"/>
      </w:rPr>
    </w:lvl>
    <w:lvl w:ilvl="8" w:tplc="CC6CEAD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25"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E0E67"/>
    <w:multiLevelType w:val="hybridMultilevel"/>
    <w:tmpl w:val="B5D425B6"/>
    <w:lvl w:ilvl="0" w:tplc="F92CCCE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002286"/>
    <w:multiLevelType w:val="hybridMultilevel"/>
    <w:tmpl w:val="A59E2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26"/>
  </w:num>
  <w:num w:numId="3">
    <w:abstractNumId w:val="32"/>
  </w:num>
  <w:num w:numId="4">
    <w:abstractNumId w:val="9"/>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30"/>
  </w:num>
  <w:num w:numId="8">
    <w:abstractNumId w:val="15"/>
  </w:num>
  <w:num w:numId="9">
    <w:abstractNumId w:val="16"/>
  </w:num>
  <w:num w:numId="10">
    <w:abstractNumId w:val="14"/>
  </w:num>
  <w:num w:numId="11">
    <w:abstractNumId w:val="35"/>
  </w:num>
  <w:num w:numId="12">
    <w:abstractNumId w:val="20"/>
  </w:num>
  <w:num w:numId="13">
    <w:abstractNumId w:val="27"/>
  </w:num>
  <w:num w:numId="14">
    <w:abstractNumId w:val="18"/>
  </w:num>
  <w:num w:numId="15">
    <w:abstractNumId w:val="36"/>
  </w:num>
  <w:num w:numId="16">
    <w:abstractNumId w:val="31"/>
  </w:num>
  <w:num w:numId="17">
    <w:abstractNumId w:val="29"/>
  </w:num>
  <w:num w:numId="18">
    <w:abstractNumId w:val="10"/>
  </w:num>
  <w:num w:numId="19">
    <w:abstractNumId w:val="21"/>
  </w:num>
  <w:num w:numId="20">
    <w:abstractNumId w:val="3"/>
  </w:num>
  <w:num w:numId="21">
    <w:abstractNumId w:val="25"/>
  </w:num>
  <w:num w:numId="22">
    <w:abstractNumId w:val="0"/>
  </w:num>
  <w:num w:numId="23">
    <w:abstractNumId w:val="22"/>
  </w:num>
  <w:num w:numId="24">
    <w:abstractNumId w:val="19"/>
  </w:num>
  <w:num w:numId="25">
    <w:abstractNumId w:val="7"/>
  </w:num>
  <w:num w:numId="26">
    <w:abstractNumId w:val="24"/>
  </w:num>
  <w:num w:numId="27">
    <w:abstractNumId w:val="8"/>
  </w:num>
  <w:num w:numId="28">
    <w:abstractNumId w:val="6"/>
  </w:num>
  <w:num w:numId="29">
    <w:abstractNumId w:val="11"/>
  </w:num>
  <w:num w:numId="30">
    <w:abstractNumId w:val="13"/>
  </w:num>
  <w:num w:numId="31">
    <w:abstractNumId w:val="4"/>
  </w:num>
  <w:num w:numId="32">
    <w:abstractNumId w:val="33"/>
  </w:num>
  <w:num w:numId="33">
    <w:abstractNumId w:val="5"/>
  </w:num>
  <w:num w:numId="34">
    <w:abstractNumId w:val="12"/>
  </w:num>
  <w:num w:numId="35">
    <w:abstractNumId w:val="34"/>
  </w:num>
  <w:num w:numId="36">
    <w:abstractNumId w:val="14"/>
  </w:num>
  <w:num w:numId="37">
    <w:abstractNumId w:val="17"/>
  </w:num>
  <w:num w:numId="38">
    <w:abstractNumId w:val="14"/>
  </w:num>
  <w:num w:numId="39">
    <w:abstractNumId w:val="14"/>
  </w:num>
  <w:num w:numId="40">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C38"/>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FFF"/>
    <w:rsid w:val="000952C2"/>
    <w:rsid w:val="000957AB"/>
    <w:rsid w:val="0009584A"/>
    <w:rsid w:val="000958D0"/>
    <w:rsid w:val="0009592B"/>
    <w:rsid w:val="00096197"/>
    <w:rsid w:val="000961ED"/>
    <w:rsid w:val="0009715C"/>
    <w:rsid w:val="000972E8"/>
    <w:rsid w:val="000975EF"/>
    <w:rsid w:val="00097968"/>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6B4"/>
    <w:rsid w:val="000D07FE"/>
    <w:rsid w:val="000D0AD3"/>
    <w:rsid w:val="000D0D43"/>
    <w:rsid w:val="000D0E72"/>
    <w:rsid w:val="000D0F9D"/>
    <w:rsid w:val="000D14F3"/>
    <w:rsid w:val="000D19C5"/>
    <w:rsid w:val="000D1A28"/>
    <w:rsid w:val="000D247A"/>
    <w:rsid w:val="000D248A"/>
    <w:rsid w:val="000D253B"/>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366"/>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2DCC"/>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CCF"/>
    <w:rsid w:val="00110EAD"/>
    <w:rsid w:val="00110F48"/>
    <w:rsid w:val="001111B6"/>
    <w:rsid w:val="0011169A"/>
    <w:rsid w:val="00111827"/>
    <w:rsid w:val="00111AA9"/>
    <w:rsid w:val="00111C91"/>
    <w:rsid w:val="00111EB7"/>
    <w:rsid w:val="00112593"/>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6046"/>
    <w:rsid w:val="00116F74"/>
    <w:rsid w:val="001173FF"/>
    <w:rsid w:val="001176B7"/>
    <w:rsid w:val="00117C45"/>
    <w:rsid w:val="00120028"/>
    <w:rsid w:val="0012027C"/>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C8E"/>
    <w:rsid w:val="0014436D"/>
    <w:rsid w:val="00144488"/>
    <w:rsid w:val="00144528"/>
    <w:rsid w:val="001445CF"/>
    <w:rsid w:val="0014489B"/>
    <w:rsid w:val="00144BE2"/>
    <w:rsid w:val="001458BF"/>
    <w:rsid w:val="00145B35"/>
    <w:rsid w:val="00145C8F"/>
    <w:rsid w:val="00146354"/>
    <w:rsid w:val="0014638D"/>
    <w:rsid w:val="00146FA2"/>
    <w:rsid w:val="00147021"/>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A89"/>
    <w:rsid w:val="00195FDF"/>
    <w:rsid w:val="001966D2"/>
    <w:rsid w:val="00196FDA"/>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127B"/>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44"/>
    <w:rsid w:val="00225FE4"/>
    <w:rsid w:val="002261FC"/>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2F1"/>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60F3"/>
    <w:rsid w:val="002968C9"/>
    <w:rsid w:val="00296B7E"/>
    <w:rsid w:val="00296FCC"/>
    <w:rsid w:val="002976AF"/>
    <w:rsid w:val="00297836"/>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2DC"/>
    <w:rsid w:val="002F4302"/>
    <w:rsid w:val="002F48A3"/>
    <w:rsid w:val="002F48FD"/>
    <w:rsid w:val="002F4A0C"/>
    <w:rsid w:val="002F4A63"/>
    <w:rsid w:val="002F4C00"/>
    <w:rsid w:val="002F5ACA"/>
    <w:rsid w:val="002F6187"/>
    <w:rsid w:val="002F62BA"/>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8C7"/>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1507"/>
    <w:rsid w:val="00311D14"/>
    <w:rsid w:val="00311D70"/>
    <w:rsid w:val="00311EF9"/>
    <w:rsid w:val="003124BC"/>
    <w:rsid w:val="00312747"/>
    <w:rsid w:val="00312B6C"/>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9E"/>
    <w:rsid w:val="00337613"/>
    <w:rsid w:val="00337A5E"/>
    <w:rsid w:val="00337D04"/>
    <w:rsid w:val="00337E5F"/>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FB9"/>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1ED3"/>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4D2"/>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A2"/>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D5"/>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605"/>
    <w:rsid w:val="004456FD"/>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4A3"/>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F14"/>
    <w:rsid w:val="004C6A32"/>
    <w:rsid w:val="004C6B3E"/>
    <w:rsid w:val="004C6BD3"/>
    <w:rsid w:val="004C712A"/>
    <w:rsid w:val="004C7130"/>
    <w:rsid w:val="004C715C"/>
    <w:rsid w:val="004C7162"/>
    <w:rsid w:val="004C72C7"/>
    <w:rsid w:val="004C72D1"/>
    <w:rsid w:val="004C73D6"/>
    <w:rsid w:val="004C73ED"/>
    <w:rsid w:val="004C7743"/>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009"/>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500"/>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C7F"/>
    <w:rsid w:val="00566CD3"/>
    <w:rsid w:val="00567C4D"/>
    <w:rsid w:val="005700B8"/>
    <w:rsid w:val="00570341"/>
    <w:rsid w:val="00570586"/>
    <w:rsid w:val="00571613"/>
    <w:rsid w:val="005719CC"/>
    <w:rsid w:val="00571A0A"/>
    <w:rsid w:val="00571F60"/>
    <w:rsid w:val="0057217B"/>
    <w:rsid w:val="005725AA"/>
    <w:rsid w:val="00572669"/>
    <w:rsid w:val="00572F7F"/>
    <w:rsid w:val="00572FC7"/>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2BF"/>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B03E7"/>
    <w:rsid w:val="005B0860"/>
    <w:rsid w:val="005B0AF1"/>
    <w:rsid w:val="005B0D7B"/>
    <w:rsid w:val="005B192E"/>
    <w:rsid w:val="005B21B5"/>
    <w:rsid w:val="005B2A37"/>
    <w:rsid w:val="005B2DCE"/>
    <w:rsid w:val="005B32B4"/>
    <w:rsid w:val="005B3367"/>
    <w:rsid w:val="005B354A"/>
    <w:rsid w:val="005B3889"/>
    <w:rsid w:val="005B40C6"/>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6D8A"/>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42E"/>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F9A"/>
    <w:rsid w:val="007201D2"/>
    <w:rsid w:val="007206C6"/>
    <w:rsid w:val="00720D3A"/>
    <w:rsid w:val="00721134"/>
    <w:rsid w:val="007212C3"/>
    <w:rsid w:val="007217B0"/>
    <w:rsid w:val="00721C31"/>
    <w:rsid w:val="00721CB7"/>
    <w:rsid w:val="00721FD3"/>
    <w:rsid w:val="0072206D"/>
    <w:rsid w:val="007225D7"/>
    <w:rsid w:val="007227D7"/>
    <w:rsid w:val="00722DE1"/>
    <w:rsid w:val="00723562"/>
    <w:rsid w:val="0072359D"/>
    <w:rsid w:val="007236F8"/>
    <w:rsid w:val="00723EA4"/>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4F6E"/>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C3A"/>
    <w:rsid w:val="00751067"/>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50BF"/>
    <w:rsid w:val="007656A9"/>
    <w:rsid w:val="00765749"/>
    <w:rsid w:val="007660A7"/>
    <w:rsid w:val="007660CE"/>
    <w:rsid w:val="007663F2"/>
    <w:rsid w:val="007664BC"/>
    <w:rsid w:val="00766569"/>
    <w:rsid w:val="007666BA"/>
    <w:rsid w:val="00767076"/>
    <w:rsid w:val="00767180"/>
    <w:rsid w:val="00767328"/>
    <w:rsid w:val="00767825"/>
    <w:rsid w:val="00767832"/>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2EB"/>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EFF"/>
    <w:rsid w:val="007C2F2F"/>
    <w:rsid w:val="007C3016"/>
    <w:rsid w:val="007C37F1"/>
    <w:rsid w:val="007C38F9"/>
    <w:rsid w:val="007C3FC1"/>
    <w:rsid w:val="007C43A9"/>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554"/>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3679"/>
    <w:rsid w:val="00813A38"/>
    <w:rsid w:val="00813C5C"/>
    <w:rsid w:val="00813F1A"/>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2A0"/>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E8"/>
    <w:rsid w:val="00863944"/>
    <w:rsid w:val="00863AA0"/>
    <w:rsid w:val="00863C33"/>
    <w:rsid w:val="00863FFB"/>
    <w:rsid w:val="00864B8B"/>
    <w:rsid w:val="00865391"/>
    <w:rsid w:val="00865468"/>
    <w:rsid w:val="00865859"/>
    <w:rsid w:val="00865C7F"/>
    <w:rsid w:val="00865E37"/>
    <w:rsid w:val="008667C5"/>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A8"/>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C0A"/>
    <w:rsid w:val="008E1EDA"/>
    <w:rsid w:val="008E2080"/>
    <w:rsid w:val="008E2095"/>
    <w:rsid w:val="008E2428"/>
    <w:rsid w:val="008E2C29"/>
    <w:rsid w:val="008E312C"/>
    <w:rsid w:val="008E3533"/>
    <w:rsid w:val="008E35AB"/>
    <w:rsid w:val="008E3F4D"/>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86D"/>
    <w:rsid w:val="00910A2C"/>
    <w:rsid w:val="00910DC9"/>
    <w:rsid w:val="00911040"/>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A73"/>
    <w:rsid w:val="009A373F"/>
    <w:rsid w:val="009A43D3"/>
    <w:rsid w:val="009A4651"/>
    <w:rsid w:val="009A48D6"/>
    <w:rsid w:val="009A49A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D28"/>
    <w:rsid w:val="00A20E7E"/>
    <w:rsid w:val="00A20FB3"/>
    <w:rsid w:val="00A21850"/>
    <w:rsid w:val="00A21907"/>
    <w:rsid w:val="00A21BE5"/>
    <w:rsid w:val="00A21EEF"/>
    <w:rsid w:val="00A21F16"/>
    <w:rsid w:val="00A223CB"/>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96A"/>
    <w:rsid w:val="00AD4BB3"/>
    <w:rsid w:val="00AD4C37"/>
    <w:rsid w:val="00AD4F75"/>
    <w:rsid w:val="00AD52DA"/>
    <w:rsid w:val="00AD555B"/>
    <w:rsid w:val="00AD55E2"/>
    <w:rsid w:val="00AD5D03"/>
    <w:rsid w:val="00AD63A5"/>
    <w:rsid w:val="00AD693F"/>
    <w:rsid w:val="00AD71E4"/>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27E"/>
    <w:rsid w:val="00AE3487"/>
    <w:rsid w:val="00AE3A91"/>
    <w:rsid w:val="00AE3EE0"/>
    <w:rsid w:val="00AE3EE8"/>
    <w:rsid w:val="00AE4340"/>
    <w:rsid w:val="00AE4BDA"/>
    <w:rsid w:val="00AE4C40"/>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745"/>
    <w:rsid w:val="00B14865"/>
    <w:rsid w:val="00B148B5"/>
    <w:rsid w:val="00B14D32"/>
    <w:rsid w:val="00B14D74"/>
    <w:rsid w:val="00B15426"/>
    <w:rsid w:val="00B15781"/>
    <w:rsid w:val="00B15921"/>
    <w:rsid w:val="00B15A26"/>
    <w:rsid w:val="00B161BB"/>
    <w:rsid w:val="00B1654A"/>
    <w:rsid w:val="00B1738A"/>
    <w:rsid w:val="00B17944"/>
    <w:rsid w:val="00B17E7E"/>
    <w:rsid w:val="00B2023A"/>
    <w:rsid w:val="00B20433"/>
    <w:rsid w:val="00B2068B"/>
    <w:rsid w:val="00B20A3F"/>
    <w:rsid w:val="00B20AC8"/>
    <w:rsid w:val="00B20C4A"/>
    <w:rsid w:val="00B20CD1"/>
    <w:rsid w:val="00B21002"/>
    <w:rsid w:val="00B211BA"/>
    <w:rsid w:val="00B21312"/>
    <w:rsid w:val="00B216CF"/>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C43"/>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1B2"/>
    <w:rsid w:val="00BE22E0"/>
    <w:rsid w:val="00BE2F26"/>
    <w:rsid w:val="00BE2F28"/>
    <w:rsid w:val="00BE365E"/>
    <w:rsid w:val="00BE3F08"/>
    <w:rsid w:val="00BE42BC"/>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4F8"/>
    <w:rsid w:val="00BF152B"/>
    <w:rsid w:val="00BF1544"/>
    <w:rsid w:val="00BF1F54"/>
    <w:rsid w:val="00BF2D13"/>
    <w:rsid w:val="00BF2F3D"/>
    <w:rsid w:val="00BF322B"/>
    <w:rsid w:val="00BF3267"/>
    <w:rsid w:val="00BF3620"/>
    <w:rsid w:val="00BF371B"/>
    <w:rsid w:val="00BF3922"/>
    <w:rsid w:val="00BF39A4"/>
    <w:rsid w:val="00BF3C8D"/>
    <w:rsid w:val="00BF40A8"/>
    <w:rsid w:val="00BF41A9"/>
    <w:rsid w:val="00BF5348"/>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6F27"/>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0C1"/>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148"/>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12E"/>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B5E"/>
    <w:rsid w:val="00D34B7F"/>
    <w:rsid w:val="00D350C8"/>
    <w:rsid w:val="00D357A8"/>
    <w:rsid w:val="00D358CC"/>
    <w:rsid w:val="00D35E00"/>
    <w:rsid w:val="00D35F55"/>
    <w:rsid w:val="00D3617B"/>
    <w:rsid w:val="00D3682E"/>
    <w:rsid w:val="00D36966"/>
    <w:rsid w:val="00D36A84"/>
    <w:rsid w:val="00D37310"/>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B97"/>
    <w:rsid w:val="00D73DCD"/>
    <w:rsid w:val="00D73E86"/>
    <w:rsid w:val="00D74104"/>
    <w:rsid w:val="00D743D8"/>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614"/>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EEC"/>
    <w:rsid w:val="00EB733A"/>
    <w:rsid w:val="00EB75A0"/>
    <w:rsid w:val="00EB762E"/>
    <w:rsid w:val="00EB7719"/>
    <w:rsid w:val="00EB793A"/>
    <w:rsid w:val="00EB7A14"/>
    <w:rsid w:val="00EB7BD4"/>
    <w:rsid w:val="00EC0AE8"/>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4B3"/>
    <w:rsid w:val="00ED7678"/>
    <w:rsid w:val="00EE014F"/>
    <w:rsid w:val="00EE028A"/>
    <w:rsid w:val="00EE0D40"/>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869"/>
    <w:rsid w:val="00EF5C36"/>
    <w:rsid w:val="00EF5F3B"/>
    <w:rsid w:val="00EF5F75"/>
    <w:rsid w:val="00EF6685"/>
    <w:rsid w:val="00EF6878"/>
    <w:rsid w:val="00EF74F9"/>
    <w:rsid w:val="00EF78C9"/>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822"/>
    <w:rsid w:val="00F0384A"/>
    <w:rsid w:val="00F03857"/>
    <w:rsid w:val="00F038BD"/>
    <w:rsid w:val="00F03B3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E6A"/>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38F"/>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BC7"/>
    <w:rsid w:val="00F94D38"/>
    <w:rsid w:val="00F95391"/>
    <w:rsid w:val="00F955F9"/>
    <w:rsid w:val="00F95724"/>
    <w:rsid w:val="00F958C6"/>
    <w:rsid w:val="00F95A36"/>
    <w:rsid w:val="00F960EE"/>
    <w:rsid w:val="00F9684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6F8"/>
    <w:rsid w:val="00FC5AA5"/>
    <w:rsid w:val="00FC5C8E"/>
    <w:rsid w:val="00FC5DA2"/>
    <w:rsid w:val="00FC6030"/>
    <w:rsid w:val="00FC6995"/>
    <w:rsid w:val="00FC6EA9"/>
    <w:rsid w:val="00FC71E1"/>
    <w:rsid w:val="00FC7259"/>
    <w:rsid w:val="00FC73D0"/>
    <w:rsid w:val="00FC7471"/>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992"/>
    <w:rsid w:val="00FF5BE4"/>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PLChar">
    <w:name w:val="PL Char"/>
    <w:link w:val="PL"/>
    <w:rsid w:val="001C127B"/>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84372109">
      <w:bodyDiv w:val="1"/>
      <w:marLeft w:val="0"/>
      <w:marRight w:val="0"/>
      <w:marTop w:val="0"/>
      <w:marBottom w:val="0"/>
      <w:divBdr>
        <w:top w:val="none" w:sz="0" w:space="0" w:color="auto"/>
        <w:left w:val="none" w:sz="0" w:space="0" w:color="auto"/>
        <w:bottom w:val="none" w:sz="0" w:space="0" w:color="auto"/>
        <w:right w:val="none" w:sz="0" w:space="0" w:color="auto"/>
      </w:divBdr>
    </w:div>
    <w:div w:id="187720724">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3804769">
      <w:bodyDiv w:val="1"/>
      <w:marLeft w:val="0"/>
      <w:marRight w:val="0"/>
      <w:marTop w:val="0"/>
      <w:marBottom w:val="0"/>
      <w:divBdr>
        <w:top w:val="none" w:sz="0" w:space="0" w:color="auto"/>
        <w:left w:val="none" w:sz="0" w:space="0" w:color="auto"/>
        <w:bottom w:val="none" w:sz="0" w:space="0" w:color="auto"/>
        <w:right w:val="none" w:sz="0" w:space="0" w:color="auto"/>
      </w:divBdr>
      <w:divsChild>
        <w:div w:id="765078669">
          <w:marLeft w:val="1080"/>
          <w:marRight w:val="0"/>
          <w:marTop w:val="100"/>
          <w:marBottom w:val="0"/>
          <w:divBdr>
            <w:top w:val="none" w:sz="0" w:space="0" w:color="auto"/>
            <w:left w:val="none" w:sz="0" w:space="0" w:color="auto"/>
            <w:bottom w:val="none" w:sz="0" w:space="0" w:color="auto"/>
            <w:right w:val="none" w:sz="0" w:space="0" w:color="auto"/>
          </w:divBdr>
        </w:div>
      </w:divsChild>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8937591">
      <w:bodyDiv w:val="1"/>
      <w:marLeft w:val="0"/>
      <w:marRight w:val="0"/>
      <w:marTop w:val="0"/>
      <w:marBottom w:val="0"/>
      <w:divBdr>
        <w:top w:val="none" w:sz="0" w:space="0" w:color="auto"/>
        <w:left w:val="none" w:sz="0" w:space="0" w:color="auto"/>
        <w:bottom w:val="none" w:sz="0" w:space="0" w:color="auto"/>
        <w:right w:val="none" w:sz="0" w:space="0" w:color="auto"/>
      </w:divBdr>
      <w:divsChild>
        <w:div w:id="138621476">
          <w:marLeft w:val="1800"/>
          <w:marRight w:val="0"/>
          <w:marTop w:val="100"/>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488579">
      <w:bodyDiv w:val="1"/>
      <w:marLeft w:val="0"/>
      <w:marRight w:val="0"/>
      <w:marTop w:val="0"/>
      <w:marBottom w:val="0"/>
      <w:divBdr>
        <w:top w:val="none" w:sz="0" w:space="0" w:color="auto"/>
        <w:left w:val="none" w:sz="0" w:space="0" w:color="auto"/>
        <w:bottom w:val="none" w:sz="0" w:space="0" w:color="auto"/>
        <w:right w:val="none" w:sz="0" w:space="0" w:color="auto"/>
      </w:divBdr>
      <w:divsChild>
        <w:div w:id="444545340">
          <w:marLeft w:val="547"/>
          <w:marRight w:val="0"/>
          <w:marTop w:val="96"/>
          <w:marBottom w:val="0"/>
          <w:divBdr>
            <w:top w:val="none" w:sz="0" w:space="0" w:color="auto"/>
            <w:left w:val="none" w:sz="0" w:space="0" w:color="auto"/>
            <w:bottom w:val="none" w:sz="0" w:space="0" w:color="auto"/>
            <w:right w:val="none" w:sz="0" w:space="0" w:color="auto"/>
          </w:divBdr>
        </w:div>
        <w:div w:id="797265866">
          <w:marLeft w:val="1166"/>
          <w:marRight w:val="0"/>
          <w:marTop w:val="86"/>
          <w:marBottom w:val="0"/>
          <w:divBdr>
            <w:top w:val="none" w:sz="0" w:space="0" w:color="auto"/>
            <w:left w:val="none" w:sz="0" w:space="0" w:color="auto"/>
            <w:bottom w:val="none" w:sz="0" w:space="0" w:color="auto"/>
            <w:right w:val="none" w:sz="0" w:space="0" w:color="auto"/>
          </w:divBdr>
        </w:div>
        <w:div w:id="1594241507">
          <w:marLeft w:val="547"/>
          <w:marRight w:val="0"/>
          <w:marTop w:val="96"/>
          <w:marBottom w:val="0"/>
          <w:divBdr>
            <w:top w:val="none" w:sz="0" w:space="0" w:color="auto"/>
            <w:left w:val="none" w:sz="0" w:space="0" w:color="auto"/>
            <w:bottom w:val="none" w:sz="0" w:space="0" w:color="auto"/>
            <w:right w:val="none" w:sz="0" w:space="0" w:color="auto"/>
          </w:divBdr>
        </w:div>
        <w:div w:id="498156147">
          <w:marLeft w:val="1166"/>
          <w:marRight w:val="0"/>
          <w:marTop w:val="86"/>
          <w:marBottom w:val="0"/>
          <w:divBdr>
            <w:top w:val="none" w:sz="0" w:space="0" w:color="auto"/>
            <w:left w:val="none" w:sz="0" w:space="0" w:color="auto"/>
            <w:bottom w:val="none" w:sz="0" w:space="0" w:color="auto"/>
            <w:right w:val="none" w:sz="0" w:space="0" w:color="auto"/>
          </w:divBdr>
        </w:div>
        <w:div w:id="1877279845">
          <w:marLeft w:val="1166"/>
          <w:marRight w:val="0"/>
          <w:marTop w:val="86"/>
          <w:marBottom w:val="0"/>
          <w:divBdr>
            <w:top w:val="none" w:sz="0" w:space="0" w:color="auto"/>
            <w:left w:val="none" w:sz="0" w:space="0" w:color="auto"/>
            <w:bottom w:val="none" w:sz="0" w:space="0" w:color="auto"/>
            <w:right w:val="none" w:sz="0" w:space="0" w:color="auto"/>
          </w:divBdr>
        </w:div>
        <w:div w:id="715811476">
          <w:marLeft w:val="1800"/>
          <w:marRight w:val="0"/>
          <w:marTop w:val="72"/>
          <w:marBottom w:val="0"/>
          <w:divBdr>
            <w:top w:val="none" w:sz="0" w:space="0" w:color="auto"/>
            <w:left w:val="none" w:sz="0" w:space="0" w:color="auto"/>
            <w:bottom w:val="none" w:sz="0" w:space="0" w:color="auto"/>
            <w:right w:val="none" w:sz="0" w:space="0" w:color="auto"/>
          </w:divBdr>
        </w:div>
        <w:div w:id="1635910041">
          <w:marLeft w:val="1800"/>
          <w:marRight w:val="0"/>
          <w:marTop w:val="72"/>
          <w:marBottom w:val="0"/>
          <w:divBdr>
            <w:top w:val="none" w:sz="0" w:space="0" w:color="auto"/>
            <w:left w:val="none" w:sz="0" w:space="0" w:color="auto"/>
            <w:bottom w:val="none" w:sz="0" w:space="0" w:color="auto"/>
            <w:right w:val="none" w:sz="0" w:space="0" w:color="auto"/>
          </w:divBdr>
        </w:div>
        <w:div w:id="541091623">
          <w:marLeft w:val="547"/>
          <w:marRight w:val="0"/>
          <w:marTop w:val="96"/>
          <w:marBottom w:val="0"/>
          <w:divBdr>
            <w:top w:val="none" w:sz="0" w:space="0" w:color="auto"/>
            <w:left w:val="none" w:sz="0" w:space="0" w:color="auto"/>
            <w:bottom w:val="none" w:sz="0" w:space="0" w:color="auto"/>
            <w:right w:val="none" w:sz="0" w:space="0" w:color="auto"/>
          </w:divBdr>
        </w:div>
        <w:div w:id="914363935">
          <w:marLeft w:val="1800"/>
          <w:marRight w:val="0"/>
          <w:marTop w:val="72"/>
          <w:marBottom w:val="0"/>
          <w:divBdr>
            <w:top w:val="none" w:sz="0" w:space="0" w:color="auto"/>
            <w:left w:val="none" w:sz="0" w:space="0" w:color="auto"/>
            <w:bottom w:val="none" w:sz="0" w:space="0" w:color="auto"/>
            <w:right w:val="none" w:sz="0" w:space="0" w:color="auto"/>
          </w:divBdr>
        </w:div>
        <w:div w:id="31467080">
          <w:marLeft w:val="1800"/>
          <w:marRight w:val="0"/>
          <w:marTop w:val="72"/>
          <w:marBottom w:val="0"/>
          <w:divBdr>
            <w:top w:val="none" w:sz="0" w:space="0" w:color="auto"/>
            <w:left w:val="none" w:sz="0" w:space="0" w:color="auto"/>
            <w:bottom w:val="none" w:sz="0" w:space="0" w:color="auto"/>
            <w:right w:val="none" w:sz="0" w:space="0" w:color="auto"/>
          </w:divBdr>
        </w:div>
      </w:divsChild>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23718314">
      <w:bodyDiv w:val="1"/>
      <w:marLeft w:val="0"/>
      <w:marRight w:val="0"/>
      <w:marTop w:val="0"/>
      <w:marBottom w:val="0"/>
      <w:divBdr>
        <w:top w:val="none" w:sz="0" w:space="0" w:color="auto"/>
        <w:left w:val="none" w:sz="0" w:space="0" w:color="auto"/>
        <w:bottom w:val="none" w:sz="0" w:space="0" w:color="auto"/>
        <w:right w:val="none" w:sz="0" w:space="0" w:color="auto"/>
      </w:divBdr>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48922421">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75408929">
      <w:bodyDiv w:val="1"/>
      <w:marLeft w:val="0"/>
      <w:marRight w:val="0"/>
      <w:marTop w:val="0"/>
      <w:marBottom w:val="0"/>
      <w:divBdr>
        <w:top w:val="none" w:sz="0" w:space="0" w:color="auto"/>
        <w:left w:val="none" w:sz="0" w:space="0" w:color="auto"/>
        <w:bottom w:val="none" w:sz="0" w:space="0" w:color="auto"/>
        <w:right w:val="none" w:sz="0" w:space="0" w:color="auto"/>
      </w:divBdr>
      <w:divsChild>
        <w:div w:id="106004145">
          <w:marLeft w:val="1800"/>
          <w:marRight w:val="0"/>
          <w:marTop w:val="10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6324174">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chart" Target="charts/chart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chart" Target="charts/chart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C:\Users\tmkim\Documents\QCT\LTE\RAN4\Individual%20Work%20Item\FeNB-IoT%20(Rel-15)\Results_NPDSCH_NPDCCH_TDD.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tmkim\Documents\QCT\LTE\RAN4\Individual%20Work%20Item\FeNB-IoT%20(Rel-15)\Results_NPDSCH_NPDCCH_TDD.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tmkim\Documents\QCT\LTE\RAN4\Individual%20Work%20Item\FeNB-IoT%20(Rel-15)\Copy%20of%20Results_NPDSCH_TDD_new_puncturing.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tmkim\Documents\QCT\LTE\RAN4\Individual%20Work%20Item\FeNB-IoT%20(Rel-15)\Copy%20of%20Results_NPDSCH_TDD_new_puncturing.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'T1'!$C$1:$E$1</c:f>
              <c:strCache>
                <c:ptCount val="1"/>
                <c:pt idx="0">
                  <c:v>FDD</c:v>
                </c:pt>
              </c:strCache>
            </c:strRef>
          </c:tx>
          <c:spPr>
            <a:ln w="28575" cap="rnd">
              <a:solidFill>
                <a:schemeClr val="accent1"/>
              </a:solidFill>
              <a:round/>
            </a:ln>
            <a:effectLst/>
          </c:spPr>
          <c:marker>
            <c:symbol val="none"/>
          </c:marker>
          <c:cat>
            <c:numRef>
              <c:f>'T1'!$A$3:$A$23</c:f>
              <c:numCache>
                <c:formatCode>General</c:formatCode>
                <c:ptCount val="21"/>
                <c:pt idx="0">
                  <c:v>0</c:v>
                </c:pt>
                <c:pt idx="1">
                  <c:v>1</c:v>
                </c:pt>
                <c:pt idx="2">
                  <c:v>2</c:v>
                </c:pt>
                <c:pt idx="3">
                  <c:v>3</c:v>
                </c:pt>
                <c:pt idx="4">
                  <c:v>4</c:v>
                </c:pt>
                <c:pt idx="5">
                  <c:v>5</c:v>
                </c:pt>
                <c:pt idx="6">
                  <c:v>6</c:v>
                </c:pt>
                <c:pt idx="7">
                  <c:v>7</c:v>
                </c:pt>
                <c:pt idx="8">
                  <c:v>8</c:v>
                </c:pt>
                <c:pt idx="9">
                  <c:v>9</c:v>
                </c:pt>
                <c:pt idx="10">
                  <c:v>10</c:v>
                </c:pt>
                <c:pt idx="11">
                  <c:v>11</c:v>
                </c:pt>
                <c:pt idx="12">
                  <c:v>12</c:v>
                </c:pt>
                <c:pt idx="13">
                  <c:v>13</c:v>
                </c:pt>
                <c:pt idx="14">
                  <c:v>14</c:v>
                </c:pt>
                <c:pt idx="15">
                  <c:v>15</c:v>
                </c:pt>
                <c:pt idx="16">
                  <c:v>16</c:v>
                </c:pt>
                <c:pt idx="17">
                  <c:v>17</c:v>
                </c:pt>
                <c:pt idx="18">
                  <c:v>18</c:v>
                </c:pt>
                <c:pt idx="19">
                  <c:v>19</c:v>
                </c:pt>
                <c:pt idx="20">
                  <c:v>20</c:v>
                </c:pt>
              </c:numCache>
            </c:numRef>
          </c:cat>
          <c:val>
            <c:numRef>
              <c:f>'T1'!$C$3:$C$23</c:f>
              <c:numCache>
                <c:formatCode>General</c:formatCode>
                <c:ptCount val="21"/>
                <c:pt idx="0">
                  <c:v>0.8125812906453227</c:v>
                </c:pt>
                <c:pt idx="1">
                  <c:v>0.73451725862931461</c:v>
                </c:pt>
                <c:pt idx="2">
                  <c:v>0.65050025012506252</c:v>
                </c:pt>
                <c:pt idx="3">
                  <c:v>0.56495747873936963</c:v>
                </c:pt>
                <c:pt idx="4">
                  <c:v>0.4849174587293647</c:v>
                </c:pt>
                <c:pt idx="5">
                  <c:v>0.41173086543271636</c:v>
                </c:pt>
                <c:pt idx="6">
                  <c:v>0.34327163581790898</c:v>
                </c:pt>
                <c:pt idx="7">
                  <c:v>0.28554277138569284</c:v>
                </c:pt>
                <c:pt idx="8">
                  <c:v>0.23559279639819911</c:v>
                </c:pt>
                <c:pt idx="9">
                  <c:v>0.19274637318659329</c:v>
                </c:pt>
                <c:pt idx="10">
                  <c:v>0.1582041020510255</c:v>
                </c:pt>
                <c:pt idx="11">
                  <c:v>0.12863931965982991</c:v>
                </c:pt>
                <c:pt idx="12">
                  <c:v>0.10385192596298148</c:v>
                </c:pt>
                <c:pt idx="13">
                  <c:v>8.2316158079039525E-2</c:v>
                </c:pt>
                <c:pt idx="14">
                  <c:v>6.5657828914457234E-2</c:v>
                </c:pt>
                <c:pt idx="15">
                  <c:v>5.292646323161581E-2</c:v>
                </c:pt>
                <c:pt idx="16">
                  <c:v>4.2396198099049522E-2</c:v>
                </c:pt>
                <c:pt idx="17">
                  <c:v>3.3266633316658328E-2</c:v>
                </c:pt>
                <c:pt idx="18">
                  <c:v>2.6788394197098549E-2</c:v>
                </c:pt>
                <c:pt idx="19">
                  <c:v>2.1560780390195097E-2</c:v>
                </c:pt>
                <c:pt idx="20">
                  <c:v>1.7233616808404201E-2</c:v>
                </c:pt>
              </c:numCache>
            </c:numRef>
          </c:val>
          <c:smooth val="0"/>
          <c:extLst>
            <c:ext xmlns:c16="http://schemas.microsoft.com/office/drawing/2014/chart" uri="{C3380CC4-5D6E-409C-BE32-E72D297353CC}">
              <c16:uniqueId val="{00000000-5316-4E9B-82B8-481D9137D35D}"/>
            </c:ext>
          </c:extLst>
        </c:ser>
        <c:ser>
          <c:idx val="2"/>
          <c:order val="1"/>
          <c:tx>
            <c:strRef>
              <c:f>'T1'!$K$1:$M$1</c:f>
              <c:strCache>
                <c:ptCount val="1"/>
                <c:pt idx="0">
                  <c:v>TDD</c:v>
                </c:pt>
              </c:strCache>
            </c:strRef>
          </c:tx>
          <c:spPr>
            <a:ln w="28575" cap="rnd">
              <a:solidFill>
                <a:schemeClr val="accent3"/>
              </a:solidFill>
              <a:round/>
            </a:ln>
            <a:effectLst/>
          </c:spPr>
          <c:marker>
            <c:symbol val="none"/>
          </c:marker>
          <c:val>
            <c:numRef>
              <c:f>'T1'!$K$3:$K$23</c:f>
              <c:numCache>
                <c:formatCode>General</c:formatCode>
                <c:ptCount val="21"/>
                <c:pt idx="1">
                  <c:v>0.80852926463231611</c:v>
                </c:pt>
                <c:pt idx="2">
                  <c:v>0.73064032016008007</c:v>
                </c:pt>
                <c:pt idx="3">
                  <c:v>0.64819909954977484</c:v>
                </c:pt>
                <c:pt idx="4">
                  <c:v>0.56323161580790393</c:v>
                </c:pt>
                <c:pt idx="5">
                  <c:v>0.48146573286643324</c:v>
                </c:pt>
                <c:pt idx="6">
                  <c:v>0.40750375187593796</c:v>
                </c:pt>
                <c:pt idx="7">
                  <c:v>0.34042021010505252</c:v>
                </c:pt>
                <c:pt idx="8">
                  <c:v>0.28076538269134566</c:v>
                </c:pt>
                <c:pt idx="9">
                  <c:v>0.2317408704352176</c:v>
                </c:pt>
                <c:pt idx="10">
                  <c:v>0.19022011005502751</c:v>
                </c:pt>
                <c:pt idx="11">
                  <c:v>0.15590295147573788</c:v>
                </c:pt>
                <c:pt idx="12">
                  <c:v>0.12736368184092045</c:v>
                </c:pt>
                <c:pt idx="13">
                  <c:v>0.10252626313156578</c:v>
                </c:pt>
                <c:pt idx="14">
                  <c:v>8.2416208104052022E-2</c:v>
                </c:pt>
                <c:pt idx="15">
                  <c:v>6.670835417708855E-2</c:v>
                </c:pt>
                <c:pt idx="16">
                  <c:v>5.4127063531765884E-2</c:v>
                </c:pt>
                <c:pt idx="17">
                  <c:v>4.4222111055527764E-2</c:v>
                </c:pt>
                <c:pt idx="18">
                  <c:v>3.5392696348174088E-2</c:v>
                </c:pt>
                <c:pt idx="19">
                  <c:v>2.846423211605803E-2</c:v>
                </c:pt>
                <c:pt idx="20">
                  <c:v>2.2611305652826413E-2</c:v>
                </c:pt>
              </c:numCache>
            </c:numRef>
          </c:val>
          <c:smooth val="0"/>
          <c:extLst>
            <c:ext xmlns:c16="http://schemas.microsoft.com/office/drawing/2014/chart" uri="{C3380CC4-5D6E-409C-BE32-E72D297353CC}">
              <c16:uniqueId val="{00000001-5316-4E9B-82B8-481D9137D35D}"/>
            </c:ext>
          </c:extLst>
        </c:ser>
        <c:dLbls>
          <c:showLegendKey val="0"/>
          <c:showVal val="0"/>
          <c:showCatName val="0"/>
          <c:showSerName val="0"/>
          <c:showPercent val="0"/>
          <c:showBubbleSize val="0"/>
        </c:dLbls>
        <c:smooth val="0"/>
        <c:axId val="534245536"/>
        <c:axId val="534244552"/>
      </c:lineChart>
      <c:catAx>
        <c:axId val="534245536"/>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244552"/>
        <c:crossesAt val="1.0000000000000002E-2"/>
        <c:auto val="1"/>
        <c:lblAlgn val="ctr"/>
        <c:lblOffset val="100"/>
        <c:noMultiLvlLbl val="0"/>
      </c:catAx>
      <c:valAx>
        <c:axId val="534244552"/>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NPDSCH BLER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24553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'T4'!$C$1:$E$1</c:f>
              <c:strCache>
                <c:ptCount val="1"/>
                <c:pt idx="0">
                  <c:v>FDD</c:v>
                </c:pt>
              </c:strCache>
            </c:strRef>
          </c:tx>
          <c:spPr>
            <a:ln w="28575" cap="rnd">
              <a:solidFill>
                <a:schemeClr val="accent1"/>
              </a:solidFill>
              <a:round/>
            </a:ln>
            <a:effectLst/>
          </c:spPr>
          <c:marker>
            <c:symbol val="none"/>
          </c:marker>
          <c:cat>
            <c:numRef>
              <c:f>'T4'!$A$3:$A$13</c:f>
              <c:numCache>
                <c:formatCode>General</c:formatCode>
                <c:ptCount val="11"/>
                <c:pt idx="0">
                  <c:v>0</c:v>
                </c:pt>
                <c:pt idx="1">
                  <c:v>1</c:v>
                </c:pt>
                <c:pt idx="2">
                  <c:v>2</c:v>
                </c:pt>
                <c:pt idx="3">
                  <c:v>3</c:v>
                </c:pt>
                <c:pt idx="4">
                  <c:v>4</c:v>
                </c:pt>
                <c:pt idx="5">
                  <c:v>5</c:v>
                </c:pt>
                <c:pt idx="6">
                  <c:v>6</c:v>
                </c:pt>
                <c:pt idx="7">
                  <c:v>7</c:v>
                </c:pt>
                <c:pt idx="8">
                  <c:v>8</c:v>
                </c:pt>
                <c:pt idx="9">
                  <c:v>9</c:v>
                </c:pt>
                <c:pt idx="10">
                  <c:v>10</c:v>
                </c:pt>
              </c:numCache>
            </c:numRef>
          </c:cat>
          <c:val>
            <c:numRef>
              <c:f>'T4'!$C$3:$C$13</c:f>
              <c:numCache>
                <c:formatCode>General</c:formatCode>
                <c:ptCount val="11"/>
                <c:pt idx="0">
                  <c:v>0.55077538769384693</c:v>
                </c:pt>
                <c:pt idx="1">
                  <c:v>0.43334167083541769</c:v>
                </c:pt>
                <c:pt idx="2">
                  <c:v>0.32873936968484241</c:v>
                </c:pt>
                <c:pt idx="3">
                  <c:v>0.2444472236118059</c:v>
                </c:pt>
                <c:pt idx="4">
                  <c:v>0.17621310655327663</c:v>
                </c:pt>
                <c:pt idx="5">
                  <c:v>0.12308654327163582</c:v>
                </c:pt>
                <c:pt idx="6">
                  <c:v>8.3866933466733365E-2</c:v>
                </c:pt>
                <c:pt idx="7">
                  <c:v>5.6003001500750375E-2</c:v>
                </c:pt>
                <c:pt idx="8">
                  <c:v>3.7218609304652324E-2</c:v>
                </c:pt>
                <c:pt idx="9">
                  <c:v>2.4887443721860931E-2</c:v>
                </c:pt>
                <c:pt idx="10">
                  <c:v>1.5832916458229113E-2</c:v>
                </c:pt>
              </c:numCache>
            </c:numRef>
          </c:val>
          <c:smooth val="0"/>
          <c:extLst>
            <c:ext xmlns:c16="http://schemas.microsoft.com/office/drawing/2014/chart" uri="{C3380CC4-5D6E-409C-BE32-E72D297353CC}">
              <c16:uniqueId val="{00000000-8775-47C8-9907-E6B329435B41}"/>
            </c:ext>
          </c:extLst>
        </c:ser>
        <c:ser>
          <c:idx val="2"/>
          <c:order val="1"/>
          <c:tx>
            <c:strRef>
              <c:f>'T4'!$K$1:$M$1</c:f>
              <c:strCache>
                <c:ptCount val="1"/>
                <c:pt idx="0">
                  <c:v>TDD</c:v>
                </c:pt>
              </c:strCache>
            </c:strRef>
          </c:tx>
          <c:spPr>
            <a:ln w="28575" cap="rnd">
              <a:solidFill>
                <a:schemeClr val="accent3"/>
              </a:solidFill>
              <a:round/>
            </a:ln>
            <a:effectLst/>
          </c:spPr>
          <c:marker>
            <c:symbol val="none"/>
          </c:marker>
          <c:cat>
            <c:numRef>
              <c:f>'T4'!$A$3:$A$13</c:f>
              <c:numCache>
                <c:formatCode>General</c:formatCode>
                <c:ptCount val="11"/>
                <c:pt idx="0">
                  <c:v>0</c:v>
                </c:pt>
                <c:pt idx="1">
                  <c:v>1</c:v>
                </c:pt>
                <c:pt idx="2">
                  <c:v>2</c:v>
                </c:pt>
                <c:pt idx="3">
                  <c:v>3</c:v>
                </c:pt>
                <c:pt idx="4">
                  <c:v>4</c:v>
                </c:pt>
                <c:pt idx="5">
                  <c:v>5</c:v>
                </c:pt>
                <c:pt idx="6">
                  <c:v>6</c:v>
                </c:pt>
                <c:pt idx="7">
                  <c:v>7</c:v>
                </c:pt>
                <c:pt idx="8">
                  <c:v>8</c:v>
                </c:pt>
                <c:pt idx="9">
                  <c:v>9</c:v>
                </c:pt>
                <c:pt idx="10">
                  <c:v>10</c:v>
                </c:pt>
              </c:numCache>
            </c:numRef>
          </c:cat>
          <c:val>
            <c:numRef>
              <c:f>'T4'!$K$3:$K$13</c:f>
              <c:numCache>
                <c:formatCode>General</c:formatCode>
                <c:ptCount val="11"/>
                <c:pt idx="0">
                  <c:v>0.69022011005502748</c:v>
                </c:pt>
                <c:pt idx="1">
                  <c:v>0.57722611305652827</c:v>
                </c:pt>
                <c:pt idx="2">
                  <c:v>0.46366933466733368</c:v>
                </c:pt>
                <c:pt idx="3">
                  <c:v>0.35477113556778389</c:v>
                </c:pt>
                <c:pt idx="4">
                  <c:v>0.26375687843921963</c:v>
                </c:pt>
                <c:pt idx="5">
                  <c:v>0.1897511255627814</c:v>
                </c:pt>
                <c:pt idx="6">
                  <c:v>0.13381690845422711</c:v>
                </c:pt>
                <c:pt idx="7">
                  <c:v>9.2171085542771383E-2</c:v>
                </c:pt>
                <c:pt idx="8">
                  <c:v>6.3000250125062537E-2</c:v>
                </c:pt>
                <c:pt idx="9">
                  <c:v>4.0739119559779893E-2</c:v>
                </c:pt>
                <c:pt idx="10">
                  <c:v>2.7169834917458731E-2</c:v>
                </c:pt>
              </c:numCache>
            </c:numRef>
          </c:val>
          <c:smooth val="0"/>
          <c:extLst>
            <c:ext xmlns:c16="http://schemas.microsoft.com/office/drawing/2014/chart" uri="{C3380CC4-5D6E-409C-BE32-E72D297353CC}">
              <c16:uniqueId val="{00000001-8775-47C8-9907-E6B329435B41}"/>
            </c:ext>
          </c:extLst>
        </c:ser>
        <c:dLbls>
          <c:showLegendKey val="0"/>
          <c:showVal val="0"/>
          <c:showCatName val="0"/>
          <c:showSerName val="0"/>
          <c:showPercent val="0"/>
          <c:showBubbleSize val="0"/>
        </c:dLbls>
        <c:smooth val="0"/>
        <c:axId val="534245536"/>
        <c:axId val="534244552"/>
      </c:lineChart>
      <c:catAx>
        <c:axId val="534245536"/>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 (dB)</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244552"/>
        <c:crossesAt val="1.0000000000000002E-2"/>
        <c:auto val="1"/>
        <c:lblAlgn val="ctr"/>
        <c:lblOffset val="100"/>
        <c:noMultiLvlLbl val="0"/>
      </c:catAx>
      <c:valAx>
        <c:axId val="534244552"/>
        <c:scaling>
          <c:logBase val="10"/>
          <c:orientation val="minMax"/>
          <c:min val="1.0000000000000002E-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NPDSCH</a:t>
                </a:r>
                <a:r>
                  <a:rPr lang="en-US" baseline="0"/>
                  <a:t> BLER</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24553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'T2'!$C$1:$E$1</c:f>
              <c:strCache>
                <c:ptCount val="1"/>
                <c:pt idx="0">
                  <c:v>FDD</c:v>
                </c:pt>
              </c:strCache>
            </c:strRef>
          </c:tx>
          <c:spPr>
            <a:ln w="28575" cap="rnd">
              <a:solidFill>
                <a:schemeClr val="accent1"/>
              </a:solidFill>
              <a:round/>
            </a:ln>
            <a:effectLst/>
          </c:spPr>
          <c:marker>
            <c:symbol val="none"/>
          </c:marker>
          <c:cat>
            <c:numRef>
              <c:f>'T2'!$A$3:$A$13</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cat>
          <c:val>
            <c:numRef>
              <c:f>'T2'!$C$3:$C$13</c:f>
              <c:numCache>
                <c:formatCode>General</c:formatCode>
                <c:ptCount val="11"/>
                <c:pt idx="0">
                  <c:v>0.31465172137710168</c:v>
                </c:pt>
                <c:pt idx="1">
                  <c:v>0.2165732586068855</c:v>
                </c:pt>
                <c:pt idx="2">
                  <c:v>0.15572457966373099</c:v>
                </c:pt>
                <c:pt idx="3">
                  <c:v>0.10408326661329063</c:v>
                </c:pt>
                <c:pt idx="4">
                  <c:v>6.6453162530024021E-2</c:v>
                </c:pt>
                <c:pt idx="5">
                  <c:v>4.0032025620496396E-2</c:v>
                </c:pt>
                <c:pt idx="6">
                  <c:v>2.6421136909527621E-2</c:v>
                </c:pt>
                <c:pt idx="7">
                  <c:v>1.7614091273018415E-2</c:v>
                </c:pt>
                <c:pt idx="8">
                  <c:v>1.0808646917534028E-2</c:v>
                </c:pt>
                <c:pt idx="9">
                  <c:v>6.4051240992794231E-3</c:v>
                </c:pt>
                <c:pt idx="10">
                  <c:v>4.0032025620496394E-3</c:v>
                </c:pt>
              </c:numCache>
            </c:numRef>
          </c:val>
          <c:smooth val="0"/>
          <c:extLst>
            <c:ext xmlns:c16="http://schemas.microsoft.com/office/drawing/2014/chart" uri="{C3380CC4-5D6E-409C-BE32-E72D297353CC}">
              <c16:uniqueId val="{00000000-7D34-4D8E-86DD-1F317310AA5D}"/>
            </c:ext>
          </c:extLst>
        </c:ser>
        <c:ser>
          <c:idx val="2"/>
          <c:order val="1"/>
          <c:tx>
            <c:strRef>
              <c:f>'T2'!$K$1:$M$1</c:f>
              <c:strCache>
                <c:ptCount val="1"/>
                <c:pt idx="0">
                  <c:v>TDD</c:v>
                </c:pt>
              </c:strCache>
            </c:strRef>
          </c:tx>
          <c:spPr>
            <a:ln w="28575" cap="rnd">
              <a:solidFill>
                <a:schemeClr val="accent3"/>
              </a:solidFill>
              <a:round/>
            </a:ln>
            <a:effectLst/>
          </c:spPr>
          <c:marker>
            <c:symbol val="none"/>
          </c:marker>
          <c:cat>
            <c:numRef>
              <c:f>'T2'!$A$3:$A$13</c:f>
              <c:numCache>
                <c:formatCode>General</c:formatCode>
                <c:ptCount val="11"/>
                <c:pt idx="0">
                  <c:v>-10</c:v>
                </c:pt>
                <c:pt idx="1">
                  <c:v>-9</c:v>
                </c:pt>
                <c:pt idx="2">
                  <c:v>-8</c:v>
                </c:pt>
                <c:pt idx="3">
                  <c:v>-7</c:v>
                </c:pt>
                <c:pt idx="4">
                  <c:v>-6</c:v>
                </c:pt>
                <c:pt idx="5">
                  <c:v>-5</c:v>
                </c:pt>
                <c:pt idx="6">
                  <c:v>-4</c:v>
                </c:pt>
                <c:pt idx="7">
                  <c:v>-3</c:v>
                </c:pt>
                <c:pt idx="8">
                  <c:v>-2</c:v>
                </c:pt>
                <c:pt idx="9">
                  <c:v>-1</c:v>
                </c:pt>
                <c:pt idx="10">
                  <c:v>0</c:v>
                </c:pt>
              </c:numCache>
            </c:numRef>
          </c:cat>
          <c:val>
            <c:numRef>
              <c:f>'T2'!$K$3:$K$13</c:f>
              <c:numCache>
                <c:formatCode>General</c:formatCode>
                <c:ptCount val="11"/>
                <c:pt idx="0">
                  <c:v>0.44057623049219685</c:v>
                </c:pt>
                <c:pt idx="1">
                  <c:v>0.28891556622649062</c:v>
                </c:pt>
                <c:pt idx="2">
                  <c:v>0.16246498599439776</c:v>
                </c:pt>
                <c:pt idx="3">
                  <c:v>8.6034413765506204E-2</c:v>
                </c:pt>
                <c:pt idx="4">
                  <c:v>4.3217286914765909E-2</c:v>
                </c:pt>
                <c:pt idx="5">
                  <c:v>2.1208483393357343E-2</c:v>
                </c:pt>
                <c:pt idx="6">
                  <c:v>1.1204481792717087E-2</c:v>
                </c:pt>
                <c:pt idx="7">
                  <c:v>5.202080832332933E-3</c:v>
                </c:pt>
                <c:pt idx="8">
                  <c:v>1.2004801920768306E-3</c:v>
                </c:pt>
                <c:pt idx="9">
                  <c:v>4.0016006402561027E-4</c:v>
                </c:pt>
                <c:pt idx="10">
                  <c:v>4.0016006402561027E-4</c:v>
                </c:pt>
              </c:numCache>
            </c:numRef>
          </c:val>
          <c:smooth val="0"/>
          <c:extLst>
            <c:ext xmlns:c16="http://schemas.microsoft.com/office/drawing/2014/chart" uri="{C3380CC4-5D6E-409C-BE32-E72D297353CC}">
              <c16:uniqueId val="{00000001-7D34-4D8E-86DD-1F317310AA5D}"/>
            </c:ext>
          </c:extLst>
        </c:ser>
        <c:dLbls>
          <c:showLegendKey val="0"/>
          <c:showVal val="0"/>
          <c:showCatName val="0"/>
          <c:showSerName val="0"/>
          <c:showPercent val="0"/>
          <c:showBubbleSize val="0"/>
        </c:dLbls>
        <c:smooth val="0"/>
        <c:axId val="534245536"/>
        <c:axId val="534244552"/>
      </c:lineChart>
      <c:catAx>
        <c:axId val="534245536"/>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244552"/>
        <c:crossesAt val="1.0000000000000002E-2"/>
        <c:auto val="1"/>
        <c:lblAlgn val="ctr"/>
        <c:lblOffset val="100"/>
        <c:noMultiLvlLbl val="0"/>
      </c:catAx>
      <c:valAx>
        <c:axId val="534244552"/>
        <c:scaling>
          <c:logBase val="10"/>
          <c:orientation val="minMax"/>
          <c:min val="1.0000000000000002E-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NPDSCH BLER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24553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ndard"/>
        <c:varyColors val="0"/>
        <c:ser>
          <c:idx val="0"/>
          <c:order val="0"/>
          <c:tx>
            <c:strRef>
              <c:f>'T3'!$C$1:$E$1</c:f>
              <c:strCache>
                <c:ptCount val="1"/>
                <c:pt idx="0">
                  <c:v>FDD</c:v>
                </c:pt>
              </c:strCache>
            </c:strRef>
          </c:tx>
          <c:spPr>
            <a:ln w="28575" cap="rnd">
              <a:solidFill>
                <a:schemeClr val="accent1"/>
              </a:solidFill>
              <a:round/>
            </a:ln>
            <a:effectLst/>
          </c:spPr>
          <c:marker>
            <c:symbol val="none"/>
          </c:marker>
          <c:cat>
            <c:numRef>
              <c:f>'T3'!$A$3:$A$13</c:f>
              <c:numCache>
                <c:formatCode>General</c:formatCode>
                <c:ptCount val="11"/>
                <c:pt idx="0">
                  <c:v>-20</c:v>
                </c:pt>
                <c:pt idx="1">
                  <c:v>-19</c:v>
                </c:pt>
                <c:pt idx="2">
                  <c:v>-18</c:v>
                </c:pt>
                <c:pt idx="3">
                  <c:v>-17</c:v>
                </c:pt>
                <c:pt idx="4">
                  <c:v>-16</c:v>
                </c:pt>
                <c:pt idx="5">
                  <c:v>-15</c:v>
                </c:pt>
                <c:pt idx="6">
                  <c:v>-14</c:v>
                </c:pt>
                <c:pt idx="7">
                  <c:v>-13</c:v>
                </c:pt>
                <c:pt idx="8">
                  <c:v>-12</c:v>
                </c:pt>
                <c:pt idx="9">
                  <c:v>-11</c:v>
                </c:pt>
                <c:pt idx="10">
                  <c:v>-10</c:v>
                </c:pt>
              </c:numCache>
            </c:numRef>
          </c:cat>
          <c:val>
            <c:numRef>
              <c:f>'T3'!$C$3:$C$13</c:f>
              <c:numCache>
                <c:formatCode>General</c:formatCode>
                <c:ptCount val="11"/>
                <c:pt idx="0">
                  <c:v>0.63621794871794868</c:v>
                </c:pt>
                <c:pt idx="1">
                  <c:v>0.48557692307692307</c:v>
                </c:pt>
                <c:pt idx="2">
                  <c:v>0.31570512820512819</c:v>
                </c:pt>
                <c:pt idx="3">
                  <c:v>0.19871794871794871</c:v>
                </c:pt>
                <c:pt idx="4">
                  <c:v>0.1056</c:v>
                </c:pt>
                <c:pt idx="5">
                  <c:v>5.1200000000000002E-2</c:v>
                </c:pt>
                <c:pt idx="6">
                  <c:v>2.564102564102564E-2</c:v>
                </c:pt>
                <c:pt idx="7">
                  <c:v>1.1217948717948718E-2</c:v>
                </c:pt>
                <c:pt idx="8">
                  <c:v>4.807692307692308E-3</c:v>
                </c:pt>
                <c:pt idx="9">
                  <c:v>3.205128205128205E-3</c:v>
                </c:pt>
                <c:pt idx="10">
                  <c:v>1.6025641025641025E-3</c:v>
                </c:pt>
              </c:numCache>
            </c:numRef>
          </c:val>
          <c:smooth val="0"/>
          <c:extLst>
            <c:ext xmlns:c16="http://schemas.microsoft.com/office/drawing/2014/chart" uri="{C3380CC4-5D6E-409C-BE32-E72D297353CC}">
              <c16:uniqueId val="{00000000-FD64-4AC4-94E4-44DA4C10D6EF}"/>
            </c:ext>
          </c:extLst>
        </c:ser>
        <c:ser>
          <c:idx val="2"/>
          <c:order val="1"/>
          <c:tx>
            <c:strRef>
              <c:f>'T3'!$K$1:$M$1</c:f>
              <c:strCache>
                <c:ptCount val="1"/>
                <c:pt idx="0">
                  <c:v>TDD</c:v>
                </c:pt>
              </c:strCache>
            </c:strRef>
          </c:tx>
          <c:spPr>
            <a:ln w="28575" cap="rnd">
              <a:solidFill>
                <a:schemeClr val="accent3"/>
              </a:solidFill>
              <a:round/>
            </a:ln>
            <a:effectLst/>
          </c:spPr>
          <c:marker>
            <c:symbol val="none"/>
          </c:marker>
          <c:cat>
            <c:numRef>
              <c:f>'T3'!$A$3:$A$13</c:f>
              <c:numCache>
                <c:formatCode>General</c:formatCode>
                <c:ptCount val="11"/>
                <c:pt idx="0">
                  <c:v>-20</c:v>
                </c:pt>
                <c:pt idx="1">
                  <c:v>-19</c:v>
                </c:pt>
                <c:pt idx="2">
                  <c:v>-18</c:v>
                </c:pt>
                <c:pt idx="3">
                  <c:v>-17</c:v>
                </c:pt>
                <c:pt idx="4">
                  <c:v>-16</c:v>
                </c:pt>
                <c:pt idx="5">
                  <c:v>-15</c:v>
                </c:pt>
                <c:pt idx="6">
                  <c:v>-14</c:v>
                </c:pt>
                <c:pt idx="7">
                  <c:v>-13</c:v>
                </c:pt>
                <c:pt idx="8">
                  <c:v>-12</c:v>
                </c:pt>
                <c:pt idx="9">
                  <c:v>-11</c:v>
                </c:pt>
                <c:pt idx="10">
                  <c:v>-10</c:v>
                </c:pt>
              </c:numCache>
            </c:numRef>
          </c:cat>
          <c:val>
            <c:numRef>
              <c:f>'T3'!$K$3:$K$13</c:f>
              <c:numCache>
                <c:formatCode>General</c:formatCode>
                <c:ptCount val="11"/>
                <c:pt idx="0">
                  <c:v>0.91666666666666663</c:v>
                </c:pt>
                <c:pt idx="1">
                  <c:v>0.74519230769230771</c:v>
                </c:pt>
                <c:pt idx="2">
                  <c:v>0.55128205128205132</c:v>
                </c:pt>
                <c:pt idx="3">
                  <c:v>0.3733974358974359</c:v>
                </c:pt>
                <c:pt idx="4">
                  <c:v>0.20960000000000001</c:v>
                </c:pt>
                <c:pt idx="5">
                  <c:v>0.1056</c:v>
                </c:pt>
                <c:pt idx="6">
                  <c:v>4.6399999999999997E-2</c:v>
                </c:pt>
                <c:pt idx="7">
                  <c:v>2.0799999999999999E-2</c:v>
                </c:pt>
                <c:pt idx="8">
                  <c:v>9.5999999999999992E-3</c:v>
                </c:pt>
                <c:pt idx="9">
                  <c:v>4.7999999999999996E-3</c:v>
                </c:pt>
                <c:pt idx="10">
                  <c:v>1.6025641025641025E-3</c:v>
                </c:pt>
              </c:numCache>
            </c:numRef>
          </c:val>
          <c:smooth val="0"/>
          <c:extLst>
            <c:ext xmlns:c16="http://schemas.microsoft.com/office/drawing/2014/chart" uri="{C3380CC4-5D6E-409C-BE32-E72D297353CC}">
              <c16:uniqueId val="{00000001-FD64-4AC4-94E4-44DA4C10D6EF}"/>
            </c:ext>
          </c:extLst>
        </c:ser>
        <c:dLbls>
          <c:showLegendKey val="0"/>
          <c:showVal val="0"/>
          <c:showCatName val="0"/>
          <c:showSerName val="0"/>
          <c:showPercent val="0"/>
          <c:showBubbleSize val="0"/>
        </c:dLbls>
        <c:smooth val="0"/>
        <c:axId val="534245536"/>
        <c:axId val="534244552"/>
      </c:lineChart>
      <c:catAx>
        <c:axId val="534245536"/>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SNR</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244552"/>
        <c:crossesAt val="1.0000000000000002E-2"/>
        <c:auto val="1"/>
        <c:lblAlgn val="ctr"/>
        <c:lblOffset val="100"/>
        <c:noMultiLvlLbl val="0"/>
      </c:catAx>
      <c:valAx>
        <c:axId val="534244552"/>
        <c:scaling>
          <c:logBase val="10"/>
          <c:orientation val="minMax"/>
          <c:min val="1.0000000000000002E-2"/>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NPDSCH BLER</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in"/>
        <c:tickLblPos val="nextTo"/>
        <c:spPr>
          <a:noFill/>
          <a:ln>
            <a:solidFill>
              <a:schemeClr val="accent1"/>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3424553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EE217-DBCB-4761-AD3D-837FF37CC7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2914</TotalTime>
  <Pages>4</Pages>
  <Words>17</Words>
  <Characters>5554</Characters>
  <Application>Microsoft Office Word</Application>
  <DocSecurity>0</DocSecurity>
  <Lines>69</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Taemin Kim</cp:lastModifiedBy>
  <cp:revision>47</cp:revision>
  <cp:lastPrinted>2009-04-22T21:01:00Z</cp:lastPrinted>
  <dcterms:created xsi:type="dcterms:W3CDTF">2018-02-16T22:17:00Z</dcterms:created>
  <dcterms:modified xsi:type="dcterms:W3CDTF">2018-08-10T19:43:00Z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